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52C" w:rsidRPr="00AA1CAB" w:rsidRDefault="0099052C" w:rsidP="00F24FE1">
      <w:pPr>
        <w:pStyle w:val="a3"/>
        <w:tabs>
          <w:tab w:val="clear" w:pos="4252"/>
          <w:tab w:val="clear" w:pos="8504"/>
        </w:tabs>
        <w:snapToGrid/>
        <w:jc w:val="center"/>
        <w:rPr>
          <w:rFonts w:ascii="ＭＳ 明朝" w:hAnsi="ＭＳ 明朝"/>
          <w:noProof/>
        </w:rPr>
      </w:pPr>
      <w:bookmarkStart w:id="0" w:name="_GoBack"/>
      <w:bookmarkEnd w:id="0"/>
      <w:r w:rsidRPr="00AA1CAB">
        <w:rPr>
          <w:rFonts w:ascii="ＭＳ 明朝" w:hAnsi="ＭＳ 明朝" w:hint="eastAsia"/>
          <w:noProof/>
        </w:rPr>
        <w:t>「銀行等の非居住者等に対する国別債権債務に関する報告書」の記載要領</w:t>
      </w:r>
    </w:p>
    <w:p w:rsidR="0099052C" w:rsidRPr="00AA1CAB" w:rsidRDefault="0099052C">
      <w:pPr>
        <w:rPr>
          <w:rFonts w:ascii="ＭＳ 明朝" w:hAnsi="ＭＳ 明朝"/>
          <w:noProof/>
        </w:rPr>
      </w:pPr>
    </w:p>
    <w:p w:rsidR="0099052C" w:rsidRPr="00AA1CAB" w:rsidRDefault="0099052C">
      <w:pPr>
        <w:rPr>
          <w:rFonts w:ascii="ＭＳ 明朝" w:hAnsi="ＭＳ 明朝"/>
          <w:noProof/>
        </w:rPr>
      </w:pPr>
      <w:r w:rsidRPr="00AA1CAB">
        <w:rPr>
          <w:rFonts w:ascii="ＭＳ 明朝" w:hAnsi="ＭＳ 明朝" w:hint="eastAsia"/>
          <w:noProof/>
        </w:rPr>
        <w:t>１．報告対象先</w:t>
      </w:r>
    </w:p>
    <w:p w:rsidR="0099052C" w:rsidRPr="00AA1CAB" w:rsidRDefault="0099052C">
      <w:pPr>
        <w:ind w:left="360"/>
        <w:rPr>
          <w:rFonts w:ascii="ＭＳ 明朝" w:hAnsi="ＭＳ 明朝"/>
          <w:noProof/>
        </w:rPr>
      </w:pPr>
      <w:r w:rsidRPr="00AA1CAB">
        <w:rPr>
          <w:rFonts w:ascii="ＭＳ 明朝" w:hAnsi="ＭＳ 明朝" w:hint="eastAsia"/>
          <w:noProof/>
        </w:rPr>
        <w:t>(1)　特別国際金融取引勘定承認金融機関</w:t>
      </w:r>
    </w:p>
    <w:p w:rsidR="0099052C" w:rsidRPr="00AA1CAB" w:rsidRDefault="0099052C">
      <w:pPr>
        <w:pStyle w:val="a7"/>
      </w:pPr>
      <w:r w:rsidRPr="00AA1CAB">
        <w:rPr>
          <w:rFonts w:hint="eastAsia"/>
        </w:rPr>
        <w:t>(2)　外国為替令第１８条の七第２項第２号ハ、ヘ及びトに規定する外国為替業務に係る取引又は行為に基づく月末の債権の残高の額が1,000億円に相当する額を超える者のうち、特に必要があると認めて財務大臣が指定した銀行等（平成１４年９月末報告分より適用）。</w:t>
      </w:r>
    </w:p>
    <w:p w:rsidR="0099052C" w:rsidRPr="00AA1CAB" w:rsidRDefault="0099052C">
      <w:pPr>
        <w:rPr>
          <w:rFonts w:ascii="ＭＳ 明朝" w:hAnsi="ＭＳ 明朝"/>
          <w:noProof/>
        </w:rPr>
      </w:pPr>
    </w:p>
    <w:p w:rsidR="0099052C" w:rsidRPr="00AA1CAB" w:rsidRDefault="0099052C">
      <w:pPr>
        <w:rPr>
          <w:rFonts w:ascii="ＭＳ 明朝" w:hAnsi="ＭＳ 明朝"/>
          <w:noProof/>
        </w:rPr>
      </w:pPr>
      <w:r w:rsidRPr="00AA1CAB">
        <w:rPr>
          <w:rFonts w:ascii="ＭＳ 明朝" w:hAnsi="ＭＳ 明朝" w:hint="eastAsia"/>
          <w:noProof/>
        </w:rPr>
        <w:t>２．報告方法など</w:t>
      </w:r>
    </w:p>
    <w:p w:rsidR="0099052C" w:rsidRPr="00AA1CAB" w:rsidRDefault="0099052C">
      <w:pPr>
        <w:pStyle w:val="a7"/>
      </w:pPr>
      <w:r w:rsidRPr="00AA1CAB">
        <w:rPr>
          <w:rFonts w:hint="eastAsia"/>
        </w:rPr>
        <w:t>(1)　報告は、「日本銀行外為法手続きオンラインシステム」による電子ベースまたは紙ベース(日本</w:t>
      </w:r>
      <w:r w:rsidR="00E100BC">
        <w:rPr>
          <w:rFonts w:hint="eastAsia"/>
        </w:rPr>
        <w:t>産業</w:t>
      </w:r>
      <w:r w:rsidRPr="00AA1CAB">
        <w:rPr>
          <w:rFonts w:hint="eastAsia"/>
        </w:rPr>
        <w:t>規格A3・日本銀行ホームページでダウンロード可能)によるものと</w:t>
      </w:r>
      <w:r w:rsidR="00BE37FF" w:rsidRPr="00AA1CAB">
        <w:rPr>
          <w:rFonts w:hint="eastAsia"/>
        </w:rPr>
        <w:t>し、</w:t>
      </w:r>
      <w:r w:rsidR="00836F8A" w:rsidRPr="00AA1CAB">
        <w:rPr>
          <w:rFonts w:hint="eastAsia"/>
        </w:rPr>
        <w:t>報告方法は原則、</w:t>
      </w:r>
      <w:r w:rsidR="00C73D4A" w:rsidRPr="00AA1CAB">
        <w:rPr>
          <w:rFonts w:hint="eastAsia"/>
        </w:rPr>
        <w:t>電子ベース</w:t>
      </w:r>
      <w:r w:rsidR="00836F8A" w:rsidRPr="00AA1CAB">
        <w:rPr>
          <w:rFonts w:hint="eastAsia"/>
        </w:rPr>
        <w:t>とする</w:t>
      </w:r>
      <w:r w:rsidR="00C73D4A" w:rsidRPr="00AA1CAB">
        <w:rPr>
          <w:rFonts w:hint="eastAsia"/>
        </w:rPr>
        <w:t>。</w:t>
      </w:r>
    </w:p>
    <w:p w:rsidR="0099052C" w:rsidRPr="00AA1CAB" w:rsidRDefault="0099052C">
      <w:pPr>
        <w:pStyle w:val="a7"/>
      </w:pPr>
    </w:p>
    <w:p w:rsidR="0099052C" w:rsidRPr="00AA1CAB" w:rsidRDefault="0099052C">
      <w:pPr>
        <w:pStyle w:val="a7"/>
      </w:pPr>
      <w:r w:rsidRPr="00AA1CAB">
        <w:rPr>
          <w:rFonts w:hint="eastAsia"/>
        </w:rPr>
        <w:t>(2)　毎年３月末、６月末、９月末及び１２月末現在において報告書１通を作成し、翌月末までに日本銀行を経由して財務大臣に提出すること。その際、郵送による場合は、郵送に係る日数を十分考慮すること。</w:t>
      </w:r>
    </w:p>
    <w:p w:rsidR="0099052C" w:rsidRPr="00AA1CAB" w:rsidRDefault="0099052C">
      <w:pPr>
        <w:rPr>
          <w:rFonts w:ascii="ＭＳ 明朝" w:hAnsi="ＭＳ 明朝"/>
          <w:noProof/>
        </w:rPr>
      </w:pPr>
    </w:p>
    <w:p w:rsidR="0099052C" w:rsidRPr="00AA1CAB" w:rsidRDefault="0099052C">
      <w:pPr>
        <w:pStyle w:val="a7"/>
      </w:pPr>
      <w:r w:rsidRPr="00AA1CAB">
        <w:rPr>
          <w:rFonts w:hint="eastAsia"/>
        </w:rPr>
        <w:t>(</w:t>
      </w:r>
      <w:r w:rsidR="005B5906" w:rsidRPr="00AA1CAB">
        <w:rPr>
          <w:rFonts w:hint="eastAsia"/>
        </w:rPr>
        <w:t>3</w:t>
      </w:r>
      <w:r w:rsidRPr="00AA1CAB">
        <w:rPr>
          <w:rFonts w:hint="eastAsia"/>
        </w:rPr>
        <w:t>)　報告単位は、百万米ドルとし、小数第一位（十万米ドル）まで記入（第一位未満四捨五入）すること。米ドル以外の通貨については、報告省令第３５条第２項の規定によるレートに基づき、米ドルに換算のうえ記入すること。</w:t>
      </w:r>
    </w:p>
    <w:p w:rsidR="0099052C" w:rsidRPr="00AA1CAB" w:rsidRDefault="0099052C" w:rsidP="005B5906">
      <w:pPr>
        <w:pStyle w:val="a7"/>
        <w:ind w:leftChars="341" w:left="716" w:firstLineChars="100" w:firstLine="210"/>
      </w:pPr>
      <w:r w:rsidRPr="00AA1CAB">
        <w:rPr>
          <w:rFonts w:hint="eastAsia"/>
        </w:rPr>
        <w:t>各内訳計数のタテ計及びヨコ計（通貨別計・国別計）は、それぞれの当該合計と一致させること。この際、単位未満（小数点以下第１位未満）の四捨五入に伴うズレは、内訳計数を適宜調整のうえ、合計額と一致させること。</w:t>
      </w:r>
    </w:p>
    <w:p w:rsidR="0099052C" w:rsidRPr="00AA1CAB" w:rsidRDefault="0099052C">
      <w:pPr>
        <w:rPr>
          <w:rFonts w:ascii="ＭＳ 明朝" w:hAnsi="ＭＳ 明朝"/>
          <w:noProof/>
        </w:rPr>
      </w:pPr>
    </w:p>
    <w:p w:rsidR="0099052C" w:rsidRPr="00AA1CAB" w:rsidRDefault="0099052C">
      <w:pPr>
        <w:pStyle w:val="a7"/>
      </w:pPr>
      <w:r w:rsidRPr="00AA1CAB">
        <w:rPr>
          <w:rFonts w:hint="eastAsia"/>
        </w:rPr>
        <w:t>(</w:t>
      </w:r>
      <w:r w:rsidR="005B5906" w:rsidRPr="00AA1CAB">
        <w:rPr>
          <w:rFonts w:hint="eastAsia"/>
        </w:rPr>
        <w:t>4</w:t>
      </w:r>
      <w:r w:rsidRPr="00AA1CAB">
        <w:rPr>
          <w:rFonts w:hint="eastAsia"/>
        </w:rPr>
        <w:t>)　紙ベースで報告する場合の留意点</w:t>
      </w:r>
    </w:p>
    <w:p w:rsidR="0099052C" w:rsidRPr="00AA1CAB" w:rsidRDefault="0099052C">
      <w:pPr>
        <w:ind w:left="900" w:hanging="180"/>
        <w:rPr>
          <w:rFonts w:ascii="ＭＳ 明朝" w:hAnsi="ＭＳ 明朝"/>
          <w:noProof/>
        </w:rPr>
      </w:pPr>
      <w:r w:rsidRPr="00AA1CAB">
        <w:rPr>
          <w:rFonts w:ascii="ＭＳ 明朝" w:hAnsi="ＭＳ 明朝" w:hint="eastAsia"/>
        </w:rPr>
        <w:t>イ．</w:t>
      </w:r>
      <w:r w:rsidR="00836F8A" w:rsidRPr="00AA1CAB">
        <w:rPr>
          <w:rFonts w:ascii="ＭＳ 明朝" w:hAnsi="ＭＳ 明朝" w:hint="eastAsia"/>
        </w:rPr>
        <w:t>報告日付等は西暦により記入すること。</w:t>
      </w:r>
    </w:p>
    <w:p w:rsidR="0099052C" w:rsidRPr="00AA1CAB" w:rsidRDefault="0099052C">
      <w:pPr>
        <w:rPr>
          <w:rFonts w:ascii="ＭＳ 明朝" w:hAnsi="ＭＳ 明朝"/>
          <w:noProof/>
        </w:rPr>
      </w:pPr>
    </w:p>
    <w:p w:rsidR="0099052C" w:rsidRPr="00AA1CAB" w:rsidRDefault="0099052C">
      <w:pPr>
        <w:pStyle w:val="a8"/>
      </w:pPr>
      <w:r w:rsidRPr="00AA1CAB">
        <w:rPr>
          <w:rFonts w:hint="eastAsia"/>
        </w:rPr>
        <w:t>ロ．</w:t>
      </w:r>
      <w:r w:rsidR="00836F8A" w:rsidRPr="00AA1CAB">
        <w:rPr>
          <w:rFonts w:hint="eastAsia"/>
        </w:rPr>
        <w:t>「責任者</w:t>
      </w:r>
      <w:r w:rsidR="004E53DE">
        <w:rPr>
          <w:rFonts w:hint="eastAsia"/>
        </w:rPr>
        <w:t>の氏名</w:t>
      </w:r>
      <w:r w:rsidR="00836F8A" w:rsidRPr="00AA1CAB">
        <w:rPr>
          <w:rFonts w:hint="eastAsia"/>
        </w:rPr>
        <w:t>」欄には、報告の提出について授権された者</w:t>
      </w:r>
      <w:r w:rsidR="005A7FCE">
        <w:rPr>
          <w:rFonts w:hint="eastAsia"/>
        </w:rPr>
        <w:t>の氏名を</w:t>
      </w:r>
      <w:r w:rsidR="00836F8A" w:rsidRPr="00AA1CAB">
        <w:rPr>
          <w:rFonts w:hint="eastAsia"/>
        </w:rPr>
        <w:t>記</w:t>
      </w:r>
      <w:r w:rsidR="005A7FCE">
        <w:rPr>
          <w:rFonts w:hint="eastAsia"/>
        </w:rPr>
        <w:t>入</w:t>
      </w:r>
      <w:r w:rsidR="00836F8A" w:rsidRPr="00AA1CAB">
        <w:rPr>
          <w:rFonts w:hint="eastAsia"/>
        </w:rPr>
        <w:t>すること。また、報告銀行名を報告書の全葉に記入すること。</w:t>
      </w:r>
    </w:p>
    <w:p w:rsidR="0099052C" w:rsidRPr="00AA1CAB" w:rsidRDefault="0099052C">
      <w:pPr>
        <w:rPr>
          <w:rFonts w:ascii="ＭＳ 明朝" w:hAnsi="ＭＳ 明朝"/>
          <w:noProof/>
        </w:rPr>
      </w:pPr>
    </w:p>
    <w:p w:rsidR="0099052C" w:rsidRPr="00AA1CAB" w:rsidRDefault="0099052C">
      <w:pPr>
        <w:pStyle w:val="a8"/>
      </w:pPr>
      <w:r w:rsidRPr="00AA1CAB">
        <w:rPr>
          <w:rFonts w:hint="eastAsia"/>
        </w:rPr>
        <w:t>ハ．</w:t>
      </w:r>
      <w:r w:rsidR="00836F8A" w:rsidRPr="00AA1CAB">
        <w:rPr>
          <w:rFonts w:hint="eastAsia"/>
        </w:rPr>
        <w:t>本報告書の提出に際しては、裏面を転写することは要しない。</w:t>
      </w:r>
    </w:p>
    <w:p w:rsidR="00836F8A" w:rsidRPr="00AA1CAB" w:rsidRDefault="00836F8A">
      <w:pPr>
        <w:pStyle w:val="a8"/>
      </w:pPr>
    </w:p>
    <w:p w:rsidR="00836F8A" w:rsidRPr="00AA1CAB" w:rsidRDefault="00A96824">
      <w:pPr>
        <w:pStyle w:val="a8"/>
      </w:pPr>
      <w:r w:rsidRPr="00AA1CAB">
        <w:rPr>
          <w:rFonts w:hint="eastAsia"/>
        </w:rPr>
        <w:t>ニ</w:t>
      </w:r>
      <w:r w:rsidR="00836F8A" w:rsidRPr="00AA1CAB">
        <w:rPr>
          <w:rFonts w:hint="eastAsia"/>
        </w:rPr>
        <w:t>. 本報告書により報告を要する残高がなかった場合には、本報告書の初葉に「全葉について該当なし。」と記載し、初葉のみの提出として差し支えない。</w:t>
      </w:r>
    </w:p>
    <w:p w:rsidR="0099052C" w:rsidRPr="00AA1CAB" w:rsidRDefault="005B5906">
      <w:pPr>
        <w:rPr>
          <w:rFonts w:ascii="ＭＳ 明朝" w:hAnsi="ＭＳ 明朝"/>
          <w:noProof/>
        </w:rPr>
      </w:pPr>
      <w:r w:rsidRPr="00AA1CAB">
        <w:rPr>
          <w:rFonts w:ascii="ＭＳ 明朝" w:hAnsi="ＭＳ 明朝"/>
          <w:noProof/>
        </w:rPr>
        <w:br w:type="page"/>
      </w:r>
      <w:r w:rsidR="0099052C" w:rsidRPr="00AA1CAB">
        <w:rPr>
          <w:rFonts w:ascii="ＭＳ 明朝" w:hAnsi="ＭＳ 明朝" w:hint="eastAsia"/>
          <w:noProof/>
        </w:rPr>
        <w:lastRenderedPageBreak/>
        <w:t>３．記入上の留意点</w:t>
      </w:r>
    </w:p>
    <w:p w:rsidR="0099052C" w:rsidRPr="00AA1CAB" w:rsidRDefault="0099052C" w:rsidP="00485F38">
      <w:pPr>
        <w:pStyle w:val="a7"/>
        <w:ind w:left="359" w:firstLineChars="100" w:firstLine="210"/>
      </w:pPr>
      <w:r w:rsidRPr="00AA1CAB">
        <w:rPr>
          <w:rFonts w:hint="eastAsia"/>
        </w:rPr>
        <w:t>本報告書は、毎年３月末、６月末、９月末及び１２月末現在における報告対象金融機関の本邦店の非居住者及び居住者に対する債権及び債務を対象とし、下記に従い作成すること（「対居住者」欄のうち円建分は報告を要しない）。</w:t>
      </w:r>
    </w:p>
    <w:p w:rsidR="0099052C" w:rsidRPr="00AA1CAB" w:rsidRDefault="0099052C">
      <w:pPr>
        <w:rPr>
          <w:rFonts w:ascii="ＭＳ 明朝" w:hAnsi="ＭＳ 明朝"/>
          <w:noProof/>
        </w:rPr>
      </w:pPr>
    </w:p>
    <w:p w:rsidR="0099052C" w:rsidRPr="00AA1CAB" w:rsidRDefault="0099052C">
      <w:pPr>
        <w:pStyle w:val="a7"/>
      </w:pPr>
      <w:r w:rsidRPr="00AA1CAB">
        <w:rPr>
          <w:rFonts w:hint="eastAsia"/>
        </w:rPr>
        <w:t>(1)　報告に当たっては、本報告書の様式の区分に従って通貨毎に区分すること。ユーロ円は外貨建ではなく円建に含めること。</w:t>
      </w:r>
    </w:p>
    <w:p w:rsidR="0099052C" w:rsidRPr="00AA1CAB" w:rsidRDefault="0099052C">
      <w:pPr>
        <w:rPr>
          <w:rFonts w:ascii="ＭＳ 明朝" w:hAnsi="ＭＳ 明朝"/>
          <w:noProof/>
        </w:rPr>
      </w:pPr>
    </w:p>
    <w:p w:rsidR="0099052C" w:rsidRPr="00AA1CAB" w:rsidRDefault="0099052C">
      <w:pPr>
        <w:pStyle w:val="a7"/>
      </w:pPr>
      <w:r w:rsidRPr="00AA1CAB">
        <w:rPr>
          <w:rFonts w:hint="eastAsia"/>
        </w:rPr>
        <w:t>(2)　債権債務ともに短期及び中長期に区分し、短期は原契約期間が１年以内のものを、中長期は同１年を超えるものを記入すること。</w:t>
      </w:r>
    </w:p>
    <w:p w:rsidR="0099052C" w:rsidRPr="00AA1CAB" w:rsidRDefault="0099052C">
      <w:pPr>
        <w:rPr>
          <w:rFonts w:ascii="ＭＳ 明朝" w:hAnsi="ＭＳ 明朝"/>
          <w:noProof/>
        </w:rPr>
      </w:pPr>
    </w:p>
    <w:p w:rsidR="0099052C" w:rsidRPr="00AA1CAB" w:rsidRDefault="0099052C">
      <w:pPr>
        <w:pStyle w:val="a7"/>
      </w:pPr>
      <w:r w:rsidRPr="00AA1CAB">
        <w:rPr>
          <w:rFonts w:hint="eastAsia"/>
        </w:rPr>
        <w:t>(3)　「短期債権」「短期債務」「中長期債権」及び「中長期債務」別に作成するが、作成に当たっては、報告書各頁の左上の表示欄に、報告書の種類を表示すること。</w:t>
      </w:r>
    </w:p>
    <w:p w:rsidR="0099052C" w:rsidRPr="00AA1CAB" w:rsidRDefault="0099052C">
      <w:pPr>
        <w:rPr>
          <w:rFonts w:ascii="ＭＳ 明朝" w:hAnsi="ＭＳ 明朝"/>
          <w:noProof/>
        </w:rPr>
      </w:pPr>
    </w:p>
    <w:p w:rsidR="0099052C" w:rsidRPr="00AA1CAB" w:rsidRDefault="005B5906" w:rsidP="005B5906">
      <w:pPr>
        <w:pStyle w:val="a7"/>
      </w:pPr>
      <w:r w:rsidRPr="00AA1CAB">
        <w:rPr>
          <w:rFonts w:hint="eastAsia"/>
        </w:rPr>
        <w:t xml:space="preserve">(4)　</w:t>
      </w:r>
      <w:r w:rsidR="0099052C" w:rsidRPr="00AA1CAB">
        <w:rPr>
          <w:rFonts w:hint="eastAsia"/>
        </w:rPr>
        <w:t>「非銀行」欄は、全体の内書として、「銀行及びその他の金融機関」（注1）以外のものに対する債権債務を記入すること。</w:t>
      </w:r>
    </w:p>
    <w:p w:rsidR="0099052C" w:rsidRPr="00AA1CAB" w:rsidRDefault="0099052C">
      <w:pPr>
        <w:pStyle w:val="a9"/>
        <w:rPr>
          <w:szCs w:val="21"/>
        </w:rPr>
      </w:pPr>
      <w:r w:rsidRPr="00AA1CAB">
        <w:rPr>
          <w:rFonts w:hint="eastAsia"/>
        </w:rPr>
        <w:t>（注1）</w:t>
      </w:r>
      <w:r w:rsidR="00962855" w:rsidRPr="00AA1CAB">
        <w:rPr>
          <w:rFonts w:hint="eastAsia"/>
        </w:rPr>
        <w:t xml:space="preserve"> </w:t>
      </w:r>
      <w:r w:rsidR="00E91A67" w:rsidRPr="00AA1CAB">
        <w:rPr>
          <w:rFonts w:hint="eastAsia"/>
          <w:szCs w:val="21"/>
        </w:rPr>
        <w:t>取引相手先の「銀行」、「非銀行」への区分について、対非居住者については、相手先の所在する国・地域でどちらに分類されているかによること。また、対居住者については、預金（譲渡性預金等を含む）を受入れることができれば「銀行」と分類し、財務大臣など一部の例外を除き、預金（譲渡性預金等を含む）を受入れることができなければ「非銀行」と分類すること。</w:t>
      </w:r>
    </w:p>
    <w:p w:rsidR="0099052C" w:rsidRPr="00AA1CAB" w:rsidRDefault="0099052C">
      <w:pPr>
        <w:pStyle w:val="a9"/>
        <w:rPr>
          <w:szCs w:val="21"/>
        </w:rPr>
      </w:pPr>
      <w:r w:rsidRPr="00AA1CAB">
        <w:rPr>
          <w:rFonts w:hint="eastAsia"/>
          <w:szCs w:val="21"/>
        </w:rPr>
        <w:t xml:space="preserve"> 　　　　国際機関のうち、例えば地域開発銀行などは「銀行」、国連など非金融機関は「非銀行」に分類すること。また、外国中央銀行や公的通貨当局、居住者の項に計上する財務大臣は「銀行」、公的通貨当局以外の外国政府は「非銀行」に分類すること。</w:t>
      </w:r>
    </w:p>
    <w:p w:rsidR="0099052C" w:rsidRPr="00AA1CAB" w:rsidRDefault="0099052C">
      <w:pPr>
        <w:rPr>
          <w:rFonts w:ascii="ＭＳ 明朝" w:hAnsi="ＭＳ 明朝"/>
          <w:noProof/>
        </w:rPr>
      </w:pPr>
    </w:p>
    <w:p w:rsidR="0099052C" w:rsidRPr="00AA1CAB" w:rsidRDefault="0099052C">
      <w:pPr>
        <w:pStyle w:val="a7"/>
      </w:pPr>
      <w:r w:rsidRPr="00AA1CAB">
        <w:rPr>
          <w:rFonts w:hint="eastAsia"/>
        </w:rPr>
        <w:t>(5)　国際機関（＜例＞アジア開発銀行）は所在国別（＜例＞フィリピン）に計上せず、「国際機関計」に一括して計上すること。</w:t>
      </w:r>
    </w:p>
    <w:p w:rsidR="0099052C" w:rsidRPr="00AA1CAB" w:rsidRDefault="0099052C" w:rsidP="005B5906">
      <w:pPr>
        <w:pStyle w:val="a7"/>
        <w:ind w:leftChars="341" w:left="716" w:firstLineChars="100" w:firstLine="210"/>
      </w:pPr>
      <w:r w:rsidRPr="00AA1CAB">
        <w:rPr>
          <w:rFonts w:hint="eastAsia"/>
        </w:rPr>
        <w:t>ただし、欧州中央銀行（European Central Bank, ECB）向け債権債務はドイツ向け債権債務として、国際決済銀行（Bank for International Settlements, BIS）向け債権債務はスイス向け債権債務とみなして、それぞれ「銀行」に分類のうえ計上すること。</w:t>
      </w:r>
    </w:p>
    <w:p w:rsidR="0099052C" w:rsidRPr="00AA1CAB" w:rsidRDefault="0099052C">
      <w:pPr>
        <w:rPr>
          <w:rFonts w:ascii="ＭＳ 明朝" w:hAnsi="ＭＳ 明朝"/>
          <w:noProof/>
        </w:rPr>
      </w:pPr>
    </w:p>
    <w:p w:rsidR="0099052C" w:rsidRPr="00AA1CAB" w:rsidRDefault="0099052C">
      <w:pPr>
        <w:pStyle w:val="a7"/>
      </w:pPr>
      <w:r w:rsidRPr="00AA1CAB">
        <w:rPr>
          <w:rFonts w:hint="eastAsia"/>
        </w:rPr>
        <w:t>(6)　非居住者に対する債権債務の各合計額の「うち外国中央銀行及び公的通貨当局」（注2）に対する分を内書すること。</w:t>
      </w:r>
    </w:p>
    <w:p w:rsidR="0099052C" w:rsidRPr="00AA1CAB" w:rsidRDefault="0099052C">
      <w:pPr>
        <w:pStyle w:val="a9"/>
      </w:pPr>
      <w:r w:rsidRPr="00AA1CAB">
        <w:rPr>
          <w:rFonts w:hint="eastAsia"/>
        </w:rPr>
        <w:t>（注2）</w:t>
      </w:r>
      <w:r w:rsidR="00C4515F" w:rsidRPr="00AA1CAB">
        <w:rPr>
          <w:rFonts w:hint="eastAsia"/>
        </w:rPr>
        <w:t xml:space="preserve"> </w:t>
      </w:r>
      <w:r w:rsidRPr="00AA1CAB">
        <w:rPr>
          <w:rFonts w:hint="eastAsia"/>
        </w:rPr>
        <w:t>「外国中央銀行及び公的通貨当局」とは、外国中央銀行のほか、通貨の調</w:t>
      </w:r>
      <w:r w:rsidRPr="00AA1CAB">
        <w:rPr>
          <w:rFonts w:hint="eastAsia"/>
        </w:rPr>
        <w:lastRenderedPageBreak/>
        <w:t>節、金融の調整、信用制度の保持育成等、中央銀行と同様の機能を持つ外国政府機関のことを言う。なお、上記</w:t>
      </w:r>
      <w:r w:rsidR="00C4515F" w:rsidRPr="00AA1CAB">
        <w:rPr>
          <w:rFonts w:hint="eastAsia"/>
        </w:rPr>
        <w:t>(5)</w:t>
      </w:r>
      <w:r w:rsidRPr="00AA1CAB">
        <w:rPr>
          <w:rFonts w:hint="eastAsia"/>
        </w:rPr>
        <w:t>に記載したECB、BIS向け債権債務も該当する。</w:t>
      </w:r>
    </w:p>
    <w:p w:rsidR="0099052C" w:rsidRPr="00AA1CAB" w:rsidRDefault="0099052C">
      <w:pPr>
        <w:pStyle w:val="a7"/>
      </w:pPr>
      <w:r w:rsidRPr="00AA1CAB">
        <w:rPr>
          <w:rFonts w:hint="eastAsia"/>
        </w:rPr>
        <w:t>(7)　外債を発行した場合は、相手国別区分を行うことなく、債務「その他」欄（「国際機関計」の次の行）に一括して計上すること。当該計数については、「うち非銀行」欄への区分を要しない。</w:t>
      </w:r>
    </w:p>
    <w:p w:rsidR="0099052C" w:rsidRPr="00AA1CAB" w:rsidRDefault="0099052C">
      <w:pPr>
        <w:rPr>
          <w:rFonts w:ascii="ＭＳ 明朝" w:hAnsi="ＭＳ 明朝"/>
          <w:noProof/>
        </w:rPr>
      </w:pPr>
    </w:p>
    <w:p w:rsidR="0099052C" w:rsidRPr="00AA1CAB" w:rsidRDefault="0099052C">
      <w:pPr>
        <w:pStyle w:val="a7"/>
      </w:pPr>
      <w:r w:rsidRPr="00AA1CAB">
        <w:rPr>
          <w:rFonts w:hint="eastAsia"/>
        </w:rPr>
        <w:t>(8)　地域別・国別分類については、本報告書様式の区分に従って記入すること。なお、本報告書様式に記載されていない国に対する残高がある場合には、当記載要領の別表「地域別・国別分類表」により、当該国の属する地域の「その他」の欄に一括してその合計額を記入すること。</w:t>
      </w:r>
    </w:p>
    <w:p w:rsidR="0099052C" w:rsidRPr="00AA1CAB" w:rsidRDefault="0099052C">
      <w:pPr>
        <w:rPr>
          <w:rFonts w:ascii="ＭＳ 明朝" w:hAnsi="ＭＳ 明朝"/>
          <w:noProof/>
        </w:rPr>
      </w:pPr>
    </w:p>
    <w:p w:rsidR="0099052C" w:rsidRPr="00AA1CAB" w:rsidRDefault="0099052C">
      <w:pPr>
        <w:rPr>
          <w:rFonts w:ascii="ＭＳ 明朝" w:hAnsi="ＭＳ 明朝"/>
          <w:noProof/>
        </w:rPr>
      </w:pPr>
      <w:r w:rsidRPr="00AA1CAB">
        <w:rPr>
          <w:rFonts w:ascii="ＭＳ 明朝" w:hAnsi="ＭＳ 明朝" w:hint="eastAsia"/>
          <w:noProof/>
        </w:rPr>
        <w:t>４．残高の照合について</w:t>
      </w:r>
    </w:p>
    <w:p w:rsidR="0099052C" w:rsidRPr="00AA1CAB" w:rsidRDefault="0099052C">
      <w:pPr>
        <w:pStyle w:val="a7"/>
      </w:pPr>
      <w:r w:rsidRPr="00AA1CAB">
        <w:rPr>
          <w:rFonts w:hint="eastAsia"/>
        </w:rPr>
        <w:t>(1)　非居住者に対する外貨建債権債務の各合計額（「非居住者合計」欄）の照合において、報告省令別紙様式第２６「資産負債状況報告書（外貨建本邦店分）」の「対非居住者」の計数のうち、「うち中長期」及び短期（「残高」から「うち中長期」を除いたもの。）の各合計額に一致させること。また、信託勘定を有する金融機関は、「資産負債状況報告書（外貨建本邦店信託勘定分）」の残高を含めた合計額に一致させること。</w:t>
      </w:r>
    </w:p>
    <w:p w:rsidR="0099052C" w:rsidRPr="00AA1CAB" w:rsidRDefault="0099052C">
      <w:pPr>
        <w:pStyle w:val="a7"/>
      </w:pPr>
    </w:p>
    <w:p w:rsidR="0099052C" w:rsidRPr="00AA1CAB" w:rsidRDefault="0099052C">
      <w:pPr>
        <w:pStyle w:val="a7"/>
      </w:pPr>
      <w:r w:rsidRPr="00AA1CAB">
        <w:rPr>
          <w:rFonts w:hint="eastAsia"/>
        </w:rPr>
        <w:t>(2)　非居住者に対する円建債権債務の各合計額（「非居住者合計」欄）の照合において、報告省令別紙様式第２６「資産負債状況報告書（円建本邦店分）」の「対非居住者」の計数のうち、「うち中長期」及び短期（「残高」から「うち中長期」を除いたもの。）の各合計額に一致させること。なお、信託勘定を有する金融機関は、「資産負債状況報告書（円建本邦店信託勘定分）」の残高を含めた合計額に一致させること。</w:t>
      </w:r>
    </w:p>
    <w:p w:rsidR="0099052C" w:rsidRPr="00AA1CAB" w:rsidRDefault="0099052C">
      <w:pPr>
        <w:pStyle w:val="a7"/>
      </w:pPr>
    </w:p>
    <w:p w:rsidR="0099052C" w:rsidRPr="00AA1CAB" w:rsidRDefault="0099052C">
      <w:pPr>
        <w:pStyle w:val="a7"/>
      </w:pPr>
      <w:r w:rsidRPr="00AA1CAB">
        <w:rPr>
          <w:rFonts w:hint="eastAsia"/>
        </w:rPr>
        <w:t>(3)　居住者に対する外貨建債権債務の各合計額（「居住者」欄）の照合において、報告省令別紙様式第２６「資産負債状況報告書（外貨建本邦店分）」の対居住者（「残高」から「対非居住者」を除いたもの。）の計数のうち、「うち中長期」及び短期（「残高」から「うち中長期」を除いたもの。）の各合計額に一致させること。また、信託勘定を有する金融機関は、「資産負債状況報告書（外貨建本邦店信託勘定分）」の残高を含めた合計額に一致させること。</w:t>
      </w:r>
    </w:p>
    <w:p w:rsidR="00671FF2" w:rsidRPr="005A309B" w:rsidRDefault="0099052C" w:rsidP="00671FF2">
      <w:pPr>
        <w:pStyle w:val="210"/>
        <w:ind w:left="0"/>
        <w:rPr>
          <w:sz w:val="16"/>
          <w:szCs w:val="16"/>
        </w:rPr>
      </w:pPr>
      <w:r w:rsidRPr="00AA1CAB">
        <w:br w:type="page"/>
      </w:r>
      <w:r w:rsidR="00671FF2" w:rsidRPr="005A309B">
        <w:rPr>
          <w:rFonts w:hint="eastAsia"/>
          <w:sz w:val="16"/>
          <w:szCs w:val="16"/>
        </w:rPr>
        <w:t>地域別・国別分類表</w:t>
      </w:r>
    </w:p>
    <w:p w:rsidR="0099052C" w:rsidRDefault="0099052C">
      <w:pPr>
        <w:pStyle w:val="210"/>
        <w:ind w:left="0"/>
      </w:pPr>
    </w:p>
    <w:tbl>
      <w:tblPr>
        <w:tblpPr w:leftFromText="142" w:rightFromText="142" w:vertAnchor="page" w:horzAnchor="margin" w:tblpY="2623"/>
        <w:tblW w:w="8447" w:type="dxa"/>
        <w:tblBorders>
          <w:top w:val="single" w:sz="4" w:space="0" w:color="FFFFFF"/>
          <w:left w:val="single" w:sz="4" w:space="0" w:color="FFFFFF"/>
          <w:insideH w:val="single" w:sz="4" w:space="0" w:color="FFFFFF"/>
          <w:insideV w:val="single" w:sz="4" w:space="0" w:color="FFFFFF"/>
        </w:tblBorders>
        <w:tblLayout w:type="fixed"/>
        <w:tblLook w:val="04A0" w:firstRow="1" w:lastRow="0" w:firstColumn="1" w:lastColumn="0" w:noHBand="0" w:noVBand="1"/>
      </w:tblPr>
      <w:tblGrid>
        <w:gridCol w:w="1894"/>
        <w:gridCol w:w="236"/>
        <w:gridCol w:w="1897"/>
        <w:gridCol w:w="257"/>
        <w:gridCol w:w="1967"/>
        <w:gridCol w:w="299"/>
        <w:gridCol w:w="1897"/>
      </w:tblGrid>
      <w:tr w:rsidR="00671FF2" w:rsidRPr="00CC34CA" w:rsidTr="00B32260">
        <w:trPr>
          <w:trHeight w:val="11378"/>
        </w:trPr>
        <w:tc>
          <w:tcPr>
            <w:tcW w:w="1912" w:type="dxa"/>
          </w:tcPr>
          <w:p w:rsidR="00671FF2" w:rsidRDefault="00671FF2" w:rsidP="00755E76">
            <w:pPr>
              <w:spacing w:line="200" w:lineRule="exact"/>
              <w:rPr>
                <w:rFonts w:ascii="ＭＳ ゴシック" w:eastAsia="ＭＳ ゴシック" w:hAnsi="ＭＳ ゴシック"/>
                <w:sz w:val="12"/>
                <w:szCs w:val="12"/>
                <w:bdr w:val="single" w:sz="4" w:space="0" w:color="auto"/>
              </w:rPr>
            </w:pPr>
            <w:r w:rsidRPr="0004572D">
              <w:rPr>
                <w:rFonts w:ascii="ＭＳ ゴシック" w:eastAsia="ＭＳ ゴシック" w:hAnsi="ＭＳ ゴシック" w:hint="eastAsia"/>
                <w:sz w:val="12"/>
                <w:szCs w:val="12"/>
                <w:bdr w:val="single" w:sz="4" w:space="0" w:color="auto"/>
              </w:rPr>
              <w:t xml:space="preserve">アジア州　　</w:t>
            </w:r>
            <w:r>
              <w:rPr>
                <w:rFonts w:ascii="ＭＳ ゴシック" w:eastAsia="ＭＳ ゴシック" w:hAnsi="ＭＳ ゴシック" w:hint="eastAsia"/>
                <w:sz w:val="12"/>
                <w:szCs w:val="12"/>
                <w:bdr w:val="single" w:sz="4" w:space="0" w:color="auto"/>
              </w:rPr>
              <w:t xml:space="preserve">　</w:t>
            </w:r>
            <w:r w:rsidRPr="0004572D">
              <w:rPr>
                <w:rFonts w:ascii="ＭＳ ゴシック" w:eastAsia="ＭＳ ゴシック" w:hAnsi="ＭＳ ゴシック" w:hint="eastAsia"/>
                <w:sz w:val="12"/>
                <w:szCs w:val="12"/>
                <w:bdr w:val="single" w:sz="4" w:space="0" w:color="auto"/>
              </w:rPr>
              <w:t xml:space="preserve">　　　　　　　　</w:t>
            </w:r>
          </w:p>
          <w:p w:rsidR="00671FF2" w:rsidRDefault="00671FF2" w:rsidP="00755E76">
            <w:pPr>
              <w:spacing w:line="160" w:lineRule="exact"/>
              <w:rPr>
                <w:rFonts w:ascii="ＭＳ ゴシック" w:eastAsia="ＭＳ ゴシック" w:hAnsi="ＭＳ ゴシック"/>
                <w:sz w:val="12"/>
                <w:szCs w:val="12"/>
              </w:rPr>
            </w:pPr>
            <w:r w:rsidRPr="0004572D">
              <w:rPr>
                <w:rFonts w:ascii="ＭＳ ゴシック" w:eastAsia="ＭＳ ゴシック" w:hAnsi="ＭＳ ゴシック" w:hint="eastAsia"/>
                <w:sz w:val="12"/>
                <w:szCs w:val="12"/>
              </w:rPr>
              <w:t>アフガニスタン</w:t>
            </w:r>
            <w:r w:rsidRPr="0004572D">
              <w:rPr>
                <w:rFonts w:ascii="ＭＳ ゴシック" w:eastAsia="ＭＳ ゴシック" w:hAnsi="ＭＳ ゴシック" w:hint="eastAsia"/>
                <w:sz w:val="12"/>
                <w:szCs w:val="12"/>
              </w:rPr>
              <w:br/>
              <w:t>インド</w:t>
            </w:r>
            <w:r w:rsidRPr="0004572D">
              <w:rPr>
                <w:rFonts w:ascii="ＭＳ ゴシック" w:eastAsia="ＭＳ ゴシック" w:hAnsi="ＭＳ ゴシック" w:hint="eastAsia"/>
                <w:sz w:val="12"/>
                <w:szCs w:val="12"/>
              </w:rPr>
              <w:br/>
              <w:t>インドネシア</w:t>
            </w:r>
            <w:r w:rsidRPr="0004572D">
              <w:rPr>
                <w:rFonts w:ascii="ＭＳ ゴシック" w:eastAsia="ＭＳ ゴシック" w:hAnsi="ＭＳ ゴシック" w:hint="eastAsia"/>
                <w:sz w:val="12"/>
                <w:szCs w:val="12"/>
              </w:rPr>
              <w:br/>
              <w:t>カンボジア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シンガポール</w:t>
            </w:r>
            <w:r w:rsidRPr="0004572D">
              <w:rPr>
                <w:rFonts w:ascii="ＭＳ ゴシック" w:eastAsia="ＭＳ ゴシック" w:hAnsi="ＭＳ ゴシック" w:hint="eastAsia"/>
                <w:sz w:val="12"/>
                <w:szCs w:val="12"/>
              </w:rPr>
              <w:br/>
              <w:t>スリランカ</w:t>
            </w:r>
            <w:r w:rsidRPr="0004572D">
              <w:rPr>
                <w:rFonts w:ascii="ＭＳ ゴシック" w:eastAsia="ＭＳ ゴシック" w:hAnsi="ＭＳ ゴシック" w:hint="eastAsia"/>
                <w:sz w:val="12"/>
                <w:szCs w:val="12"/>
              </w:rPr>
              <w:br/>
              <w:t>タイ</w:t>
            </w:r>
            <w:r w:rsidRPr="0004572D">
              <w:rPr>
                <w:rFonts w:ascii="ＭＳ ゴシック" w:eastAsia="ＭＳ ゴシック" w:hAnsi="ＭＳ ゴシック" w:hint="eastAsia"/>
                <w:sz w:val="12"/>
                <w:szCs w:val="12"/>
              </w:rPr>
              <w:br/>
              <w:t>ネパール</w:t>
            </w:r>
            <w:r w:rsidRPr="0004572D">
              <w:rPr>
                <w:rFonts w:ascii="ＭＳ ゴシック" w:eastAsia="ＭＳ ゴシック" w:hAnsi="ＭＳ ゴシック" w:hint="eastAsia"/>
                <w:sz w:val="12"/>
                <w:szCs w:val="12"/>
              </w:rPr>
              <w:br/>
              <w:t>パキスタン</w:t>
            </w:r>
            <w:r w:rsidRPr="0004572D">
              <w:rPr>
                <w:rFonts w:ascii="ＭＳ ゴシック" w:eastAsia="ＭＳ ゴシック" w:hAnsi="ＭＳ ゴシック" w:hint="eastAsia"/>
                <w:sz w:val="12"/>
                <w:szCs w:val="12"/>
              </w:rPr>
              <w:br/>
              <w:t>バングラデシュ</w:t>
            </w:r>
            <w:r w:rsidRPr="0004572D">
              <w:rPr>
                <w:rFonts w:ascii="ＭＳ ゴシック" w:eastAsia="ＭＳ ゴシック" w:hAnsi="ＭＳ ゴシック" w:hint="eastAsia"/>
                <w:sz w:val="12"/>
                <w:szCs w:val="12"/>
              </w:rPr>
              <w:br/>
              <w:t>フィリピン</w:t>
            </w:r>
            <w:r w:rsidRPr="0004572D">
              <w:rPr>
                <w:rFonts w:ascii="ＭＳ ゴシック" w:eastAsia="ＭＳ ゴシック" w:hAnsi="ＭＳ ゴシック" w:hint="eastAsia"/>
                <w:sz w:val="12"/>
                <w:szCs w:val="12"/>
              </w:rPr>
              <w:br/>
              <w:t>ブータン</w:t>
            </w:r>
            <w:r w:rsidRPr="0004572D">
              <w:rPr>
                <w:rFonts w:ascii="ＭＳ ゴシック" w:eastAsia="ＭＳ ゴシック" w:hAnsi="ＭＳ ゴシック" w:hint="eastAsia"/>
                <w:sz w:val="12"/>
                <w:szCs w:val="12"/>
              </w:rPr>
              <w:br/>
              <w:t>ブルネイ</w:t>
            </w:r>
            <w:r w:rsidRPr="0004572D">
              <w:rPr>
                <w:rFonts w:ascii="ＭＳ ゴシック" w:eastAsia="ＭＳ ゴシック" w:hAnsi="ＭＳ ゴシック" w:hint="eastAsia"/>
                <w:sz w:val="12"/>
                <w:szCs w:val="12"/>
              </w:rPr>
              <w:br/>
              <w:t>ベトナム</w:t>
            </w:r>
            <w:r w:rsidRPr="0004572D">
              <w:rPr>
                <w:rFonts w:ascii="ＭＳ ゴシック" w:eastAsia="ＭＳ ゴシック" w:hAnsi="ＭＳ ゴシック" w:hint="eastAsia"/>
                <w:sz w:val="12"/>
                <w:szCs w:val="12"/>
              </w:rPr>
              <w:br/>
              <w:t>マカオ</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マレーシア</w:t>
            </w:r>
            <w:r w:rsidRPr="0004572D">
              <w:rPr>
                <w:rFonts w:ascii="ＭＳ ゴシック" w:eastAsia="ＭＳ ゴシック" w:hAnsi="ＭＳ ゴシック" w:hint="eastAsia"/>
                <w:sz w:val="12"/>
                <w:szCs w:val="12"/>
              </w:rPr>
              <w:br/>
              <w:t>ミャンマー</w:t>
            </w:r>
            <w:r w:rsidRPr="0004572D">
              <w:rPr>
                <w:rFonts w:ascii="ＭＳ ゴシック" w:eastAsia="ＭＳ ゴシック" w:hAnsi="ＭＳ ゴシック" w:hint="eastAsia"/>
                <w:sz w:val="12"/>
                <w:szCs w:val="12"/>
              </w:rPr>
              <w:br/>
              <w:t>モルディブ</w:t>
            </w:r>
            <w:r w:rsidRPr="0004572D">
              <w:rPr>
                <w:rFonts w:ascii="ＭＳ ゴシック" w:eastAsia="ＭＳ ゴシック" w:hAnsi="ＭＳ ゴシック" w:hint="eastAsia"/>
                <w:sz w:val="12"/>
                <w:szCs w:val="12"/>
              </w:rPr>
              <w:br/>
              <w:t>モンゴル</w:t>
            </w:r>
            <w:r w:rsidRPr="0004572D">
              <w:rPr>
                <w:rFonts w:ascii="ＭＳ ゴシック" w:eastAsia="ＭＳ ゴシック" w:hAnsi="ＭＳ ゴシック" w:hint="eastAsia"/>
                <w:sz w:val="12"/>
                <w:szCs w:val="12"/>
              </w:rPr>
              <w:br/>
              <w:t>ラオス</w:t>
            </w:r>
            <w:r w:rsidRPr="0004572D">
              <w:rPr>
                <w:rFonts w:ascii="ＭＳ ゴシック" w:eastAsia="ＭＳ ゴシック" w:hAnsi="ＭＳ ゴシック" w:hint="eastAsia"/>
                <w:sz w:val="12"/>
                <w:szCs w:val="12"/>
              </w:rPr>
              <w:br/>
              <w:t>韓国</w:t>
            </w:r>
            <w:r w:rsidRPr="0004572D">
              <w:rPr>
                <w:rFonts w:ascii="ＭＳ ゴシック" w:eastAsia="ＭＳ ゴシック" w:hAnsi="ＭＳ ゴシック" w:hint="eastAsia"/>
                <w:sz w:val="12"/>
                <w:szCs w:val="12"/>
              </w:rPr>
              <w:br/>
              <w:t>香港</w:t>
            </w:r>
            <w:r w:rsidRPr="0004572D">
              <w:rPr>
                <w:rFonts w:ascii="ＭＳ ゴシック" w:eastAsia="ＭＳ ゴシック" w:hAnsi="ＭＳ ゴシック" w:hint="eastAsia"/>
                <w:sz w:val="12"/>
                <w:szCs w:val="12"/>
              </w:rPr>
              <w:br/>
              <w:t>台湾</w:t>
            </w:r>
            <w:r w:rsidRPr="0004572D">
              <w:rPr>
                <w:rFonts w:ascii="ＭＳ ゴシック" w:eastAsia="ＭＳ ゴシック" w:hAnsi="ＭＳ ゴシック" w:hint="eastAsia"/>
                <w:sz w:val="12"/>
                <w:szCs w:val="12"/>
              </w:rPr>
              <w:br/>
              <w:t>中国</w:t>
            </w:r>
            <w:r w:rsidRPr="0004572D">
              <w:rPr>
                <w:rFonts w:ascii="ＭＳ ゴシック" w:eastAsia="ＭＳ ゴシック" w:hAnsi="ＭＳ ゴシック" w:hint="eastAsia"/>
                <w:sz w:val="12"/>
                <w:szCs w:val="12"/>
              </w:rPr>
              <w:br/>
              <w:t>東ティモール</w:t>
            </w:r>
            <w:r w:rsidRPr="0004572D">
              <w:rPr>
                <w:rFonts w:ascii="ＭＳ ゴシック" w:eastAsia="ＭＳ ゴシック" w:hAnsi="ＭＳ ゴシック" w:hint="eastAsia"/>
                <w:sz w:val="12"/>
                <w:szCs w:val="12"/>
              </w:rPr>
              <w:br/>
              <w:t>北朝鮮</w:t>
            </w:r>
          </w:p>
          <w:p w:rsidR="00671FF2" w:rsidRPr="0004572D" w:rsidRDefault="00671FF2" w:rsidP="00755E76">
            <w:pPr>
              <w:spacing w:line="160" w:lineRule="exact"/>
              <w:rPr>
                <w:rFonts w:ascii="ＭＳ ゴシック" w:eastAsia="ＭＳ ゴシック" w:hAnsi="ＭＳ ゴシック"/>
                <w:sz w:val="12"/>
                <w:szCs w:val="12"/>
                <w:bdr w:val="single" w:sz="4" w:space="0" w:color="auto"/>
              </w:rPr>
            </w:pPr>
          </w:p>
          <w:p w:rsidR="00671FF2" w:rsidRDefault="00671FF2" w:rsidP="00755E76">
            <w:pPr>
              <w:spacing w:line="200" w:lineRule="exact"/>
              <w:ind w:rightChars="-51" w:right="-107"/>
              <w:rPr>
                <w:rFonts w:ascii="ＭＳ ゴシック" w:eastAsia="ＭＳ ゴシック" w:hAnsi="ＭＳ ゴシック"/>
                <w:sz w:val="12"/>
                <w:szCs w:val="12"/>
                <w:bdr w:val="single" w:sz="4" w:space="0" w:color="auto"/>
              </w:rPr>
            </w:pPr>
            <w:r w:rsidRPr="0004572D">
              <w:rPr>
                <w:rFonts w:ascii="ＭＳ ゴシック" w:eastAsia="ＭＳ ゴシック" w:hAnsi="ＭＳ ゴシック" w:hint="eastAsia"/>
                <w:sz w:val="12"/>
                <w:szCs w:val="12"/>
                <w:bdr w:val="single" w:sz="4" w:space="0" w:color="auto"/>
              </w:rPr>
              <w:t xml:space="preserve">ラテンアメリカ　　　　</w:t>
            </w:r>
            <w:r>
              <w:rPr>
                <w:rFonts w:ascii="ＭＳ ゴシック" w:eastAsia="ＭＳ ゴシック" w:hAnsi="ＭＳ ゴシック" w:hint="eastAsia"/>
                <w:sz w:val="12"/>
                <w:szCs w:val="12"/>
                <w:bdr w:val="single" w:sz="4" w:space="0" w:color="auto"/>
              </w:rPr>
              <w:t xml:space="preserve">　</w:t>
            </w:r>
            <w:r w:rsidRPr="0004572D">
              <w:rPr>
                <w:rFonts w:ascii="ＭＳ ゴシック" w:eastAsia="ＭＳ ゴシック" w:hAnsi="ＭＳ ゴシック" w:hint="eastAsia"/>
                <w:sz w:val="12"/>
                <w:szCs w:val="12"/>
                <w:bdr w:val="single" w:sz="4" w:space="0" w:color="auto"/>
              </w:rPr>
              <w:t xml:space="preserve">　　　</w:t>
            </w:r>
          </w:p>
          <w:p w:rsidR="00671FF2" w:rsidRDefault="00671FF2" w:rsidP="00755E76">
            <w:pPr>
              <w:spacing w:line="160" w:lineRule="exact"/>
              <w:rPr>
                <w:rFonts w:ascii="ＭＳ ゴシック" w:eastAsia="ＭＳ ゴシック" w:hAnsi="ＭＳ ゴシック"/>
                <w:sz w:val="12"/>
                <w:szCs w:val="12"/>
              </w:rPr>
            </w:pPr>
            <w:r w:rsidRPr="0004572D">
              <w:rPr>
                <w:rFonts w:ascii="ＭＳ ゴシック" w:eastAsia="ＭＳ ゴシック" w:hAnsi="ＭＳ ゴシック" w:hint="eastAsia"/>
                <w:sz w:val="12"/>
                <w:szCs w:val="12"/>
              </w:rPr>
              <w:t>アルゼンチン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ウルグアイ</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エクアドル</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エルサルバドル</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ガイアナ</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グアテマラ</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コスタリカ</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コロンビア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スリナム</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チリ</w:t>
            </w:r>
            <w:r w:rsidRPr="0004572D">
              <w:rPr>
                <w:rFonts w:ascii="ＭＳ ゴシック" w:eastAsia="ＭＳ ゴシック" w:hAnsi="ＭＳ ゴシック" w:hint="eastAsia"/>
                <w:sz w:val="12"/>
                <w:szCs w:val="12"/>
              </w:rPr>
              <w:br/>
              <w:t>ニカラグア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パラグアイ</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フォークランド諸島</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ブラジル</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ベネズエラ</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ベリーズ</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ペルー</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ボリビア</w:t>
            </w:r>
            <w:r w:rsidRPr="0004572D">
              <w:rPr>
                <w:rFonts w:ascii="ＭＳ ゴシック" w:eastAsia="ＭＳ ゴシック" w:hAnsi="ＭＳ ゴシック"/>
                <w:sz w:val="12"/>
                <w:szCs w:val="12"/>
              </w:rPr>
              <w:br/>
            </w:r>
            <w:r w:rsidR="001F1B72">
              <w:rPr>
                <w:rFonts w:ascii="ＭＳ ゴシック" w:eastAsia="ＭＳ ゴシック" w:hAnsi="ＭＳ ゴシック" w:hint="eastAsia"/>
                <w:sz w:val="12"/>
                <w:szCs w:val="12"/>
              </w:rPr>
              <w:t>ホ</w:t>
            </w:r>
            <w:r w:rsidRPr="0004572D">
              <w:rPr>
                <w:rFonts w:ascii="ＭＳ ゴシック" w:eastAsia="ＭＳ ゴシック" w:hAnsi="ＭＳ ゴシック" w:hint="eastAsia"/>
                <w:sz w:val="12"/>
                <w:szCs w:val="12"/>
              </w:rPr>
              <w:t>ンジュラス</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メキシコ</w:t>
            </w:r>
          </w:p>
          <w:p w:rsidR="00671FF2" w:rsidRPr="0004572D" w:rsidRDefault="00671FF2" w:rsidP="00755E76">
            <w:pPr>
              <w:spacing w:line="160" w:lineRule="exact"/>
              <w:rPr>
                <w:rFonts w:ascii="ＭＳ ゴシック" w:eastAsia="ＭＳ ゴシック" w:hAnsi="ＭＳ ゴシック"/>
                <w:sz w:val="12"/>
                <w:szCs w:val="12"/>
              </w:rPr>
            </w:pPr>
          </w:p>
          <w:p w:rsidR="00671FF2" w:rsidRDefault="00671FF2" w:rsidP="00755E76">
            <w:pPr>
              <w:spacing w:line="160" w:lineRule="exact"/>
              <w:rPr>
                <w:rFonts w:ascii="ＭＳ ゴシック" w:eastAsia="ＭＳ ゴシック" w:hAnsi="ＭＳ ゴシック"/>
                <w:sz w:val="12"/>
                <w:szCs w:val="12"/>
                <w:bdr w:val="single" w:sz="4" w:space="0" w:color="auto"/>
              </w:rPr>
            </w:pPr>
            <w:r w:rsidRPr="0004572D">
              <w:rPr>
                <w:rFonts w:ascii="ＭＳ ゴシック" w:eastAsia="ＭＳ ゴシック" w:hAnsi="ＭＳ ゴシック" w:hint="eastAsia"/>
                <w:sz w:val="12"/>
                <w:szCs w:val="12"/>
                <w:bdr w:val="single" w:sz="4" w:space="0" w:color="auto"/>
              </w:rPr>
              <w:t xml:space="preserve">中近東　　　　　　　　</w:t>
            </w:r>
            <w:r>
              <w:rPr>
                <w:rFonts w:ascii="ＭＳ ゴシック" w:eastAsia="ＭＳ ゴシック" w:hAnsi="ＭＳ ゴシック" w:hint="eastAsia"/>
                <w:sz w:val="12"/>
                <w:szCs w:val="12"/>
                <w:bdr w:val="single" w:sz="4" w:space="0" w:color="auto"/>
              </w:rPr>
              <w:t xml:space="preserve">　</w:t>
            </w:r>
            <w:r w:rsidRPr="0004572D">
              <w:rPr>
                <w:rFonts w:ascii="ＭＳ ゴシック" w:eastAsia="ＭＳ ゴシック" w:hAnsi="ＭＳ ゴシック" w:hint="eastAsia"/>
                <w:sz w:val="12"/>
                <w:szCs w:val="12"/>
                <w:bdr w:val="single" w:sz="4" w:space="0" w:color="auto"/>
              </w:rPr>
              <w:t xml:space="preserve">　　　</w:t>
            </w:r>
          </w:p>
          <w:p w:rsidR="00671FF2" w:rsidRDefault="00671FF2" w:rsidP="00755E76">
            <w:pPr>
              <w:spacing w:line="160" w:lineRule="exact"/>
              <w:rPr>
                <w:rFonts w:ascii="ＭＳ ゴシック" w:eastAsia="ＭＳ ゴシック" w:hAnsi="ＭＳ ゴシック"/>
                <w:sz w:val="12"/>
                <w:szCs w:val="12"/>
              </w:rPr>
            </w:pPr>
            <w:r w:rsidRPr="0004572D">
              <w:rPr>
                <w:rFonts w:ascii="ＭＳ ゴシック" w:eastAsia="ＭＳ ゴシック" w:hAnsi="ＭＳ ゴシック" w:hint="eastAsia"/>
                <w:sz w:val="12"/>
                <w:szCs w:val="12"/>
              </w:rPr>
              <w:t>アラブ首長国連邦</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イエメン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イスラエル</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イラク</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イラン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エジプト</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オマーン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カタール</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クウェート</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サウジアラビア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シリア</w:t>
            </w:r>
            <w:r w:rsidR="00194231">
              <w:rPr>
                <w:rFonts w:ascii="ＭＳ ゴシック" w:eastAsia="ＭＳ ゴシック" w:hAnsi="ＭＳ ゴシック"/>
                <w:sz w:val="12"/>
                <w:szCs w:val="12"/>
              </w:rPr>
              <w:br/>
            </w:r>
            <w:r w:rsidR="00194231">
              <w:rPr>
                <w:rFonts w:ascii="ＭＳ ゴシック" w:eastAsia="ＭＳ ゴシック" w:hAnsi="ＭＳ ゴシック" w:hint="eastAsia"/>
                <w:sz w:val="12"/>
                <w:szCs w:val="12"/>
              </w:rPr>
              <w:t>パレスチナ</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バーレーン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ヨルダン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リビア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レバノン</w:t>
            </w:r>
          </w:p>
          <w:p w:rsidR="00671FF2" w:rsidRPr="0004572D" w:rsidRDefault="00671FF2" w:rsidP="00755E76">
            <w:pPr>
              <w:spacing w:line="160" w:lineRule="exact"/>
              <w:rPr>
                <w:rFonts w:ascii="ＭＳ ゴシック" w:eastAsia="ＭＳ ゴシック" w:hAnsi="ＭＳ ゴシック"/>
                <w:sz w:val="12"/>
                <w:szCs w:val="12"/>
              </w:rPr>
            </w:pPr>
          </w:p>
        </w:tc>
        <w:tc>
          <w:tcPr>
            <w:tcW w:w="236" w:type="dxa"/>
          </w:tcPr>
          <w:p w:rsidR="00671FF2" w:rsidRPr="0004572D" w:rsidRDefault="00671FF2" w:rsidP="00755E76">
            <w:pPr>
              <w:ind w:rightChars="150" w:right="315"/>
              <w:rPr>
                <w:rFonts w:ascii="ＭＳ ゴシック" w:eastAsia="ＭＳ ゴシック" w:hAnsi="ＭＳ ゴシック"/>
                <w:sz w:val="12"/>
                <w:szCs w:val="12"/>
              </w:rPr>
            </w:pPr>
          </w:p>
        </w:tc>
        <w:tc>
          <w:tcPr>
            <w:tcW w:w="1914" w:type="dxa"/>
          </w:tcPr>
          <w:p w:rsidR="00671FF2" w:rsidRDefault="00671FF2" w:rsidP="00755E76">
            <w:pPr>
              <w:adjustRightInd w:val="0"/>
              <w:spacing w:line="200" w:lineRule="exact"/>
              <w:ind w:leftChars="-50" w:left="-105" w:firstLineChars="1" w:firstLine="1"/>
              <w:rPr>
                <w:rFonts w:ascii="ＭＳ ゴシック" w:eastAsia="ＭＳ ゴシック" w:hAnsi="ＭＳ ゴシック"/>
                <w:sz w:val="12"/>
                <w:szCs w:val="12"/>
                <w:bdr w:val="single" w:sz="4" w:space="0" w:color="auto"/>
              </w:rPr>
            </w:pPr>
            <w:r w:rsidRPr="0004572D">
              <w:rPr>
                <w:rFonts w:ascii="ＭＳ ゴシック" w:eastAsia="ＭＳ ゴシック" w:hAnsi="ＭＳ ゴシック" w:hint="eastAsia"/>
                <w:sz w:val="12"/>
                <w:szCs w:val="12"/>
                <w:bdr w:val="single" w:sz="4" w:space="0" w:color="auto"/>
              </w:rPr>
              <w:t xml:space="preserve">アフリカ州　　　　　　　　　　</w:t>
            </w:r>
          </w:p>
          <w:p w:rsidR="00E100BC" w:rsidRDefault="00671FF2" w:rsidP="00E100BC">
            <w:pPr>
              <w:spacing w:line="160" w:lineRule="exact"/>
              <w:ind w:leftChars="-51" w:left="-107" w:rightChars="-51" w:right="-107" w:firstLineChars="1" w:firstLine="1"/>
              <w:rPr>
                <w:rFonts w:ascii="ＭＳ ゴシック" w:eastAsia="ＭＳ ゴシック" w:hAnsi="ＭＳ ゴシック"/>
                <w:sz w:val="12"/>
                <w:szCs w:val="12"/>
              </w:rPr>
            </w:pPr>
            <w:r w:rsidRPr="0004572D">
              <w:rPr>
                <w:rFonts w:ascii="ＭＳ ゴシック" w:eastAsia="ＭＳ ゴシック" w:hAnsi="ＭＳ ゴシック" w:hint="eastAsia"/>
                <w:sz w:val="12"/>
                <w:szCs w:val="12"/>
              </w:rPr>
              <w:t>アルジェリア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アンゴラ</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ウガンダ</w:t>
            </w:r>
          </w:p>
          <w:p w:rsidR="00671FF2" w:rsidRPr="0004572D" w:rsidRDefault="00E100BC" w:rsidP="00E100BC">
            <w:pPr>
              <w:spacing w:line="160" w:lineRule="exact"/>
              <w:ind w:leftChars="-51" w:left="-107" w:rightChars="-51" w:right="-107" w:firstLineChars="1" w:firstLine="1"/>
              <w:rPr>
                <w:rFonts w:ascii="ＭＳ ゴシック" w:eastAsia="ＭＳ ゴシック" w:hAnsi="ＭＳ ゴシック"/>
                <w:sz w:val="12"/>
                <w:szCs w:val="12"/>
              </w:rPr>
            </w:pPr>
            <w:r>
              <w:rPr>
                <w:rFonts w:ascii="ＭＳ ゴシック" w:eastAsia="ＭＳ ゴシック" w:hAnsi="ＭＳ ゴシック" w:hint="eastAsia"/>
                <w:sz w:val="12"/>
                <w:szCs w:val="12"/>
              </w:rPr>
              <w:t>エスワティニ</w:t>
            </w:r>
            <w:r w:rsidR="00671FF2" w:rsidRPr="0004572D">
              <w:rPr>
                <w:rFonts w:ascii="ＭＳ ゴシック" w:eastAsia="ＭＳ ゴシック" w:hAnsi="ＭＳ ゴシック" w:hint="eastAsia"/>
                <w:sz w:val="12"/>
                <w:szCs w:val="12"/>
              </w:rPr>
              <w:br/>
              <w:t>エチオピア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エリトリア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ガーナ</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カーボ</w:t>
            </w:r>
            <w:r>
              <w:rPr>
                <w:rFonts w:ascii="ＭＳ ゴシック" w:eastAsia="ＭＳ ゴシック" w:hAnsi="ＭＳ ゴシック" w:hint="eastAsia"/>
                <w:sz w:val="12"/>
                <w:szCs w:val="12"/>
              </w:rPr>
              <w:t>ベ</w:t>
            </w:r>
            <w:r w:rsidR="00671FF2" w:rsidRPr="0004572D">
              <w:rPr>
                <w:rFonts w:ascii="ＭＳ ゴシック" w:eastAsia="ＭＳ ゴシック" w:hAnsi="ＭＳ ゴシック" w:hint="eastAsia"/>
                <w:sz w:val="12"/>
                <w:szCs w:val="12"/>
              </w:rPr>
              <w:t>ルデ</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ガボン</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カメルーン</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ガンビア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ギニア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ギニアビサウ</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ケニア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コートジボワール</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コモロ</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コンゴ共和国</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コンゴ民主共和国</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サントメ・プリンシペ</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ザンビア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シエラレオネ</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ジブチ</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ジンバブエ</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スーダン</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セーシェル</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セネガル</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セントヘレナ</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ソマリア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タンザニア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チャド</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チュニジア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トーゴ</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ナイジェリア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ナミビア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ニジェール</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ブルキナファソ</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ブルンジ</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ベナン</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ボツワナ</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マダガスカル</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マラウイ</w:t>
            </w:r>
            <w:r w:rsidR="00671FF2" w:rsidRPr="0004572D">
              <w:rPr>
                <w:rFonts w:ascii="ＭＳ ゴシック" w:eastAsia="ＭＳ ゴシック" w:hAnsi="ＭＳ ゴシック" w:hint="eastAsia"/>
                <w:sz w:val="12"/>
                <w:szCs w:val="12"/>
              </w:rPr>
              <w:br/>
              <w:t>マリ</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モーリシャス</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モーリタニア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モザンビーク</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モロッコ</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リベリア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ルワンダ</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レソト</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赤道ギニア</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中央アフリカ</w:t>
            </w:r>
            <w:r w:rsidR="00671FF2" w:rsidRPr="0004572D">
              <w:rPr>
                <w:rFonts w:ascii="ＭＳ ゴシック" w:eastAsia="ＭＳ ゴシック" w:hAnsi="ＭＳ ゴシック"/>
                <w:sz w:val="12"/>
                <w:szCs w:val="12"/>
              </w:rPr>
              <w:br/>
            </w:r>
            <w:r w:rsidR="00671FF2" w:rsidRPr="0004572D">
              <w:rPr>
                <w:rFonts w:ascii="ＭＳ ゴシック" w:eastAsia="ＭＳ ゴシック" w:hAnsi="ＭＳ ゴシック" w:hint="eastAsia"/>
                <w:sz w:val="12"/>
                <w:szCs w:val="12"/>
              </w:rPr>
              <w:t>南アフリカ</w:t>
            </w:r>
            <w:r w:rsidR="00C7004A">
              <w:rPr>
                <w:rFonts w:ascii="ＭＳ ゴシック" w:eastAsia="ＭＳ ゴシック" w:hAnsi="ＭＳ ゴシック"/>
                <w:sz w:val="12"/>
                <w:szCs w:val="12"/>
              </w:rPr>
              <w:br/>
            </w:r>
            <w:r w:rsidR="00C7004A">
              <w:rPr>
                <w:rFonts w:ascii="ＭＳ ゴシック" w:eastAsia="ＭＳ ゴシック" w:hAnsi="ＭＳ ゴシック" w:hint="eastAsia"/>
                <w:sz w:val="12"/>
                <w:szCs w:val="12"/>
              </w:rPr>
              <w:t>南スーダン</w:t>
            </w:r>
          </w:p>
        </w:tc>
        <w:tc>
          <w:tcPr>
            <w:tcW w:w="257" w:type="dxa"/>
          </w:tcPr>
          <w:p w:rsidR="00671FF2" w:rsidRPr="0004572D" w:rsidRDefault="00671FF2" w:rsidP="00755E76">
            <w:pPr>
              <w:rPr>
                <w:rFonts w:ascii="ＭＳ ゴシック" w:eastAsia="ＭＳ ゴシック" w:hAnsi="ＭＳ ゴシック"/>
                <w:sz w:val="12"/>
                <w:szCs w:val="12"/>
              </w:rPr>
            </w:pPr>
          </w:p>
        </w:tc>
        <w:tc>
          <w:tcPr>
            <w:tcW w:w="1985" w:type="dxa"/>
          </w:tcPr>
          <w:p w:rsidR="00671FF2" w:rsidRDefault="00671FF2" w:rsidP="00755E76">
            <w:pPr>
              <w:spacing w:line="200" w:lineRule="exact"/>
              <w:ind w:leftChars="-50" w:left="-105" w:firstLineChars="1" w:firstLine="1"/>
              <w:rPr>
                <w:rFonts w:ascii="ＭＳ ゴシック" w:eastAsia="ＭＳ ゴシック" w:hAnsi="ＭＳ ゴシック"/>
                <w:sz w:val="12"/>
                <w:szCs w:val="12"/>
                <w:bdr w:val="single" w:sz="4" w:space="0" w:color="auto"/>
              </w:rPr>
            </w:pPr>
            <w:r w:rsidRPr="0004572D">
              <w:rPr>
                <w:rFonts w:ascii="ＭＳ ゴシック" w:eastAsia="ＭＳ ゴシック" w:hAnsi="ＭＳ ゴシック" w:hint="eastAsia"/>
                <w:sz w:val="12"/>
                <w:szCs w:val="12"/>
                <w:bdr w:val="single" w:sz="4" w:space="0" w:color="auto"/>
              </w:rPr>
              <w:t xml:space="preserve">西欧諸国　　　　　　　　　　　</w:t>
            </w:r>
          </w:p>
          <w:p w:rsidR="00671FF2" w:rsidRDefault="00671FF2" w:rsidP="00755E76">
            <w:pPr>
              <w:spacing w:line="160" w:lineRule="exact"/>
              <w:ind w:leftChars="-51" w:left="-107" w:rightChars="-51" w:right="-107" w:firstLineChars="1" w:firstLine="1"/>
              <w:rPr>
                <w:rFonts w:ascii="ＭＳ ゴシック" w:eastAsia="ＭＳ ゴシック" w:hAnsi="ＭＳ ゴシック"/>
                <w:sz w:val="12"/>
                <w:szCs w:val="12"/>
              </w:rPr>
            </w:pPr>
            <w:r w:rsidRPr="0004572D">
              <w:rPr>
                <w:rFonts w:ascii="ＭＳ ゴシック" w:eastAsia="ＭＳ ゴシック" w:hAnsi="ＭＳ ゴシック" w:hint="eastAsia"/>
                <w:sz w:val="12"/>
                <w:szCs w:val="12"/>
              </w:rPr>
              <w:t>アイスランド</w:t>
            </w:r>
            <w:r w:rsidRPr="0004572D">
              <w:rPr>
                <w:rFonts w:ascii="ＭＳ ゴシック" w:eastAsia="ＭＳ ゴシック" w:hAnsi="ＭＳ ゴシック" w:hint="eastAsia"/>
                <w:sz w:val="12"/>
                <w:szCs w:val="12"/>
              </w:rPr>
              <w:br/>
              <w:t>アイルランド</w:t>
            </w:r>
            <w:r w:rsidRPr="0004572D">
              <w:rPr>
                <w:rFonts w:ascii="ＭＳ ゴシック" w:eastAsia="ＭＳ ゴシック" w:hAnsi="ＭＳ ゴシック" w:hint="eastAsia"/>
                <w:sz w:val="12"/>
                <w:szCs w:val="12"/>
              </w:rPr>
              <w:br/>
              <w:t>アンドラ</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イタリア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オーストリア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オランダ</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ガーンジィ</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キプロス</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ギリシャ</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グリーンランド</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クロアチア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サンマリノ</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ジブラルタル</w:t>
            </w:r>
            <w:r w:rsidRPr="0004572D">
              <w:rPr>
                <w:rFonts w:ascii="ＭＳ ゴシック" w:eastAsia="ＭＳ ゴシック" w:hAnsi="ＭＳ ゴシック"/>
                <w:sz w:val="12"/>
                <w:szCs w:val="12"/>
              </w:rPr>
              <w:br/>
            </w:r>
            <w:r w:rsidRPr="0033538F">
              <w:rPr>
                <w:rFonts w:ascii="ＭＳ ゴシック" w:eastAsia="ＭＳ ゴシック" w:hAnsi="ＭＳ ゴシック" w:hint="eastAsia"/>
                <w:sz w:val="12"/>
                <w:szCs w:val="12"/>
              </w:rPr>
              <w:t>ジャージィ</w:t>
            </w:r>
            <w:r w:rsidR="00C77006" w:rsidRPr="0033538F">
              <w:rPr>
                <w:rFonts w:ascii="ＭＳ ゴシック" w:eastAsia="ＭＳ ゴシック" w:hAnsi="ＭＳ ゴシック" w:hint="eastAsia"/>
                <w:sz w:val="12"/>
                <w:szCs w:val="12"/>
              </w:rPr>
              <w:t>ー</w:t>
            </w:r>
            <w:r w:rsidRPr="00C77006">
              <w:rPr>
                <w:rFonts w:ascii="ＭＳ ゴシック" w:eastAsia="ＭＳ ゴシック" w:hAnsi="ＭＳ ゴシック"/>
                <w:color w:val="FF0000"/>
                <w:sz w:val="12"/>
                <w:szCs w:val="12"/>
              </w:rPr>
              <w:br/>
            </w:r>
            <w:r w:rsidRPr="0004572D">
              <w:rPr>
                <w:rFonts w:ascii="ＭＳ ゴシック" w:eastAsia="ＭＳ ゴシック" w:hAnsi="ＭＳ ゴシック" w:hint="eastAsia"/>
                <w:sz w:val="12"/>
                <w:szCs w:val="12"/>
              </w:rPr>
              <w:t>スイス（BISを含む）</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スウェーデン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スペイン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スロベニア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セルビア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デンマーク</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ドイツ（ECBを含む）</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トルコ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ノルウェー</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バチカン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フィンランド</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フェロー諸島</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フランス（仏領ギアナ、</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 xml:space="preserve">　レユニオン、モナコ、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 xml:space="preserve">　サンピエール、</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 xml:space="preserve">　ミクロン島を含む）</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ベルギー</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ボスニア・ヘルツェゴビナ</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ポルトガル</w:t>
            </w:r>
            <w:r w:rsidRPr="0004572D">
              <w:rPr>
                <w:rFonts w:ascii="ＭＳ ゴシック" w:eastAsia="ＭＳ ゴシック" w:hAnsi="ＭＳ ゴシック"/>
                <w:sz w:val="12"/>
                <w:szCs w:val="12"/>
              </w:rPr>
              <w:br/>
            </w:r>
            <w:r w:rsidR="004D33B6">
              <w:rPr>
                <w:rFonts w:ascii="ＭＳ ゴシック" w:eastAsia="ＭＳ ゴシック" w:hAnsi="ＭＳ ゴシック" w:hint="eastAsia"/>
                <w:sz w:val="12"/>
                <w:szCs w:val="12"/>
              </w:rPr>
              <w:t>北</w:t>
            </w:r>
            <w:r w:rsidRPr="0004572D">
              <w:rPr>
                <w:rFonts w:ascii="ＭＳ ゴシック" w:eastAsia="ＭＳ ゴシック" w:hAnsi="ＭＳ ゴシック" w:hint="eastAsia"/>
                <w:sz w:val="12"/>
                <w:szCs w:val="12"/>
              </w:rPr>
              <w:t>マケドニア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マルタ</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マン島</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モンテネグロ</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リヒテンシュタイン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ルクセンブルク</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英国（ガーンジィ、</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 xml:space="preserve">　ジャージィー、</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 xml:space="preserve">　マン島を含む）</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旧ユーゴスラビア</w:t>
            </w:r>
          </w:p>
          <w:p w:rsidR="00671FF2" w:rsidRPr="0004572D" w:rsidRDefault="00671FF2" w:rsidP="00755E76">
            <w:pPr>
              <w:spacing w:line="160" w:lineRule="exact"/>
              <w:ind w:leftChars="-51" w:left="-107" w:rightChars="-51" w:right="-107" w:firstLineChars="1" w:firstLine="1"/>
              <w:rPr>
                <w:rFonts w:ascii="ＭＳ ゴシック" w:eastAsia="ＭＳ ゴシック" w:hAnsi="ＭＳ ゴシック"/>
                <w:sz w:val="12"/>
                <w:szCs w:val="12"/>
              </w:rPr>
            </w:pPr>
          </w:p>
          <w:p w:rsidR="00671FF2" w:rsidRDefault="00671FF2" w:rsidP="00755E76">
            <w:pPr>
              <w:tabs>
                <w:tab w:val="left" w:pos="625"/>
              </w:tabs>
              <w:spacing w:line="200" w:lineRule="exact"/>
              <w:ind w:leftChars="-51" w:left="-107" w:rightChars="-51" w:right="-107" w:firstLineChars="1" w:firstLine="1"/>
              <w:rPr>
                <w:rFonts w:ascii="ＭＳ ゴシック" w:eastAsia="ＭＳ ゴシック" w:hAnsi="ＭＳ ゴシック"/>
                <w:sz w:val="12"/>
                <w:szCs w:val="12"/>
                <w:bdr w:val="single" w:sz="4" w:space="0" w:color="auto"/>
              </w:rPr>
            </w:pPr>
            <w:r w:rsidRPr="0004572D">
              <w:rPr>
                <w:rFonts w:ascii="ＭＳ ゴシック" w:eastAsia="ＭＳ ゴシック" w:hAnsi="ＭＳ ゴシック" w:hint="eastAsia"/>
                <w:sz w:val="12"/>
                <w:szCs w:val="12"/>
                <w:bdr w:val="single" w:sz="4" w:space="0" w:color="auto"/>
              </w:rPr>
              <w:t xml:space="preserve">東欧諸国　　　　　　　　　　　</w:t>
            </w:r>
          </w:p>
          <w:p w:rsidR="00671FF2" w:rsidRDefault="00671FF2" w:rsidP="00755E76">
            <w:pPr>
              <w:spacing w:line="160" w:lineRule="exact"/>
              <w:ind w:leftChars="-51" w:left="-107" w:rightChars="-51" w:right="-107" w:firstLineChars="1" w:firstLine="1"/>
              <w:rPr>
                <w:rFonts w:ascii="ＭＳ ゴシック" w:eastAsia="ＭＳ ゴシック" w:hAnsi="ＭＳ ゴシック"/>
                <w:sz w:val="12"/>
                <w:szCs w:val="12"/>
              </w:rPr>
            </w:pPr>
            <w:r w:rsidRPr="0004572D">
              <w:rPr>
                <w:rFonts w:ascii="ＭＳ ゴシック" w:eastAsia="ＭＳ ゴシック" w:hAnsi="ＭＳ ゴシック" w:hint="eastAsia"/>
                <w:sz w:val="12"/>
                <w:szCs w:val="12"/>
              </w:rPr>
              <w:t>アゼルバイジャン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アルバニア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アルメニア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ウクライナ</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ウズベキスタン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エストニア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カザフスタン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キルギス</w:t>
            </w:r>
            <w:r w:rsidRPr="0004572D">
              <w:rPr>
                <w:rFonts w:ascii="ＭＳ ゴシック" w:eastAsia="ＭＳ ゴシック" w:hAnsi="ＭＳ ゴシック"/>
                <w:sz w:val="12"/>
                <w:szCs w:val="12"/>
              </w:rPr>
              <w:br/>
            </w:r>
            <w:r w:rsidRPr="005A309B">
              <w:rPr>
                <w:rFonts w:ascii="ＭＳ ゴシック" w:eastAsia="ＭＳ ゴシック" w:hAnsi="ＭＳ ゴシック" w:hint="eastAsia"/>
                <w:sz w:val="12"/>
                <w:szCs w:val="12"/>
              </w:rPr>
              <w:t>ジョージア</w:t>
            </w:r>
            <w:r>
              <w:rPr>
                <w:rFonts w:ascii="ＭＳ ゴシック" w:eastAsia="ＭＳ ゴシック" w:hAnsi="ＭＳ ゴシック"/>
                <w:sz w:val="12"/>
                <w:szCs w:val="12"/>
              </w:rPr>
              <w:br/>
            </w:r>
            <w:r>
              <w:rPr>
                <w:rFonts w:ascii="ＭＳ ゴシック" w:eastAsia="ＭＳ ゴシック" w:hAnsi="ＭＳ ゴシック" w:hint="eastAsia"/>
                <w:sz w:val="12"/>
                <w:szCs w:val="12"/>
              </w:rPr>
              <w:t>スロバキア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タジキスタン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チェコ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トルクメニスタン</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ハンガリー</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ブルガリア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ベラルーシ</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ポーランド</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モルドバ</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ラトビア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リトアニア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ルーマニア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ロシア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旧ソ連</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旧チェコ・スロバキア</w:t>
            </w:r>
          </w:p>
          <w:p w:rsidR="00671FF2" w:rsidRPr="0004572D" w:rsidRDefault="00671FF2" w:rsidP="00755E76">
            <w:pPr>
              <w:spacing w:line="160" w:lineRule="exact"/>
              <w:ind w:leftChars="-51" w:left="-107" w:rightChars="-51" w:right="-107" w:firstLineChars="1" w:firstLine="1"/>
              <w:rPr>
                <w:rFonts w:ascii="ＭＳ ゴシック" w:eastAsia="ＭＳ ゴシック" w:hAnsi="ＭＳ ゴシック"/>
                <w:sz w:val="12"/>
                <w:szCs w:val="12"/>
              </w:rPr>
            </w:pPr>
          </w:p>
        </w:tc>
        <w:tc>
          <w:tcPr>
            <w:tcW w:w="300" w:type="dxa"/>
          </w:tcPr>
          <w:p w:rsidR="00671FF2" w:rsidRPr="0004572D" w:rsidRDefault="00671FF2" w:rsidP="00755E76">
            <w:pPr>
              <w:ind w:leftChars="-51" w:left="-107"/>
              <w:rPr>
                <w:rFonts w:ascii="ＭＳ ゴシック" w:eastAsia="ＭＳ ゴシック" w:hAnsi="ＭＳ ゴシック"/>
                <w:sz w:val="12"/>
                <w:szCs w:val="12"/>
              </w:rPr>
            </w:pPr>
          </w:p>
        </w:tc>
        <w:tc>
          <w:tcPr>
            <w:tcW w:w="1914" w:type="dxa"/>
          </w:tcPr>
          <w:p w:rsidR="00671FF2" w:rsidRDefault="00671FF2" w:rsidP="00755E76">
            <w:pPr>
              <w:spacing w:line="200" w:lineRule="exact"/>
              <w:ind w:leftChars="-51" w:left="-107" w:rightChars="-51" w:right="-107" w:firstLineChars="1" w:firstLine="1"/>
              <w:rPr>
                <w:rFonts w:ascii="ＭＳ ゴシック" w:eastAsia="ＭＳ ゴシック" w:hAnsi="ＭＳ ゴシック"/>
                <w:sz w:val="12"/>
                <w:szCs w:val="12"/>
                <w:bdr w:val="single" w:sz="4" w:space="0" w:color="auto"/>
              </w:rPr>
            </w:pPr>
            <w:r w:rsidRPr="0004572D">
              <w:rPr>
                <w:rFonts w:ascii="ＭＳ ゴシック" w:eastAsia="ＭＳ ゴシック" w:hAnsi="ＭＳ ゴシック" w:hint="eastAsia"/>
                <w:sz w:val="12"/>
                <w:szCs w:val="12"/>
                <w:bdr w:val="single" w:sz="4" w:space="0" w:color="auto"/>
              </w:rPr>
              <w:t xml:space="preserve">カナダ　　　　　　　　　　　　</w:t>
            </w:r>
          </w:p>
          <w:p w:rsidR="00671FF2" w:rsidRPr="0004572D" w:rsidRDefault="00671FF2" w:rsidP="00755E76">
            <w:pPr>
              <w:spacing w:line="200" w:lineRule="exact"/>
              <w:ind w:leftChars="-51" w:left="-107" w:rightChars="-51" w:right="-107" w:firstLineChars="1" w:firstLine="1"/>
              <w:rPr>
                <w:rFonts w:ascii="ＭＳ ゴシック" w:eastAsia="ＭＳ ゴシック" w:hAnsi="ＭＳ ゴシック"/>
                <w:sz w:val="12"/>
                <w:szCs w:val="12"/>
                <w:bdr w:val="single" w:sz="4" w:space="0" w:color="auto"/>
              </w:rPr>
            </w:pPr>
          </w:p>
          <w:p w:rsidR="00671FF2" w:rsidRDefault="00671FF2" w:rsidP="00755E76">
            <w:pPr>
              <w:spacing w:line="200" w:lineRule="exact"/>
              <w:ind w:leftChars="-51" w:left="-107" w:rightChars="-51" w:right="-107" w:firstLineChars="1" w:firstLine="1"/>
              <w:rPr>
                <w:rFonts w:ascii="ＭＳ ゴシック" w:eastAsia="ＭＳ ゴシック" w:hAnsi="ＭＳ ゴシック"/>
                <w:sz w:val="12"/>
                <w:szCs w:val="12"/>
                <w:bdr w:val="single" w:sz="4" w:space="0" w:color="auto"/>
              </w:rPr>
            </w:pPr>
            <w:r w:rsidRPr="0004572D">
              <w:rPr>
                <w:rFonts w:ascii="ＭＳ ゴシック" w:eastAsia="ＭＳ ゴシック" w:hAnsi="ＭＳ ゴシック" w:hint="eastAsia"/>
                <w:sz w:val="12"/>
                <w:szCs w:val="12"/>
                <w:bdr w:val="single" w:sz="4" w:space="0" w:color="auto"/>
              </w:rPr>
              <w:t xml:space="preserve">米国　　　　　　　　　　　　　</w:t>
            </w:r>
          </w:p>
          <w:p w:rsidR="00671FF2" w:rsidRPr="0004572D" w:rsidRDefault="00671FF2" w:rsidP="00755E76">
            <w:pPr>
              <w:spacing w:line="200" w:lineRule="exact"/>
              <w:ind w:leftChars="-51" w:left="-107" w:rightChars="-51" w:right="-107" w:firstLineChars="1" w:firstLine="1"/>
              <w:rPr>
                <w:rFonts w:ascii="ＭＳ ゴシック" w:eastAsia="ＭＳ ゴシック" w:hAnsi="ＭＳ ゴシック"/>
                <w:sz w:val="12"/>
                <w:szCs w:val="12"/>
                <w:bdr w:val="single" w:sz="4" w:space="0" w:color="auto"/>
              </w:rPr>
            </w:pPr>
          </w:p>
          <w:p w:rsidR="00671FF2" w:rsidRDefault="00671FF2" w:rsidP="00755E76">
            <w:pPr>
              <w:spacing w:line="200" w:lineRule="exact"/>
              <w:ind w:leftChars="-51" w:left="-107" w:rightChars="-51" w:right="-107" w:firstLineChars="1" w:firstLine="1"/>
              <w:rPr>
                <w:rFonts w:ascii="ＭＳ ゴシック" w:eastAsia="ＭＳ ゴシック" w:hAnsi="ＭＳ ゴシック"/>
                <w:sz w:val="12"/>
                <w:szCs w:val="12"/>
                <w:bdr w:val="single" w:sz="4" w:space="0" w:color="auto"/>
              </w:rPr>
            </w:pPr>
            <w:r w:rsidRPr="0004572D">
              <w:rPr>
                <w:rFonts w:ascii="ＭＳ ゴシック" w:eastAsia="ＭＳ ゴシック" w:hAnsi="ＭＳ ゴシック" w:hint="eastAsia"/>
                <w:sz w:val="12"/>
                <w:szCs w:val="12"/>
                <w:bdr w:val="single" w:sz="4" w:space="0" w:color="auto"/>
              </w:rPr>
              <w:t xml:space="preserve">カリブ海諸国　　</w:t>
            </w:r>
            <w:r>
              <w:rPr>
                <w:rFonts w:ascii="ＭＳ ゴシック" w:eastAsia="ＭＳ ゴシック" w:hAnsi="ＭＳ ゴシック" w:hint="eastAsia"/>
                <w:sz w:val="12"/>
                <w:szCs w:val="12"/>
                <w:bdr w:val="single" w:sz="4" w:space="0" w:color="auto"/>
              </w:rPr>
              <w:t xml:space="preserve">　　　</w:t>
            </w:r>
            <w:r w:rsidRPr="0004572D">
              <w:rPr>
                <w:rFonts w:ascii="ＭＳ ゴシック" w:eastAsia="ＭＳ ゴシック" w:hAnsi="ＭＳ ゴシック" w:hint="eastAsia"/>
                <w:sz w:val="12"/>
                <w:szCs w:val="12"/>
                <w:bdr w:val="single" w:sz="4" w:space="0" w:color="auto"/>
              </w:rPr>
              <w:t xml:space="preserve">　　　　</w:t>
            </w:r>
          </w:p>
          <w:p w:rsidR="00671FF2" w:rsidRDefault="00671FF2" w:rsidP="00755E76">
            <w:pPr>
              <w:spacing w:line="160" w:lineRule="exact"/>
              <w:ind w:leftChars="-51" w:left="-107" w:rightChars="-51" w:right="-107" w:firstLineChars="1" w:firstLine="1"/>
              <w:rPr>
                <w:rFonts w:ascii="ＭＳ ゴシック" w:eastAsia="ＭＳ ゴシック" w:hAnsi="ＭＳ ゴシック"/>
                <w:sz w:val="12"/>
                <w:szCs w:val="12"/>
              </w:rPr>
            </w:pPr>
            <w:r w:rsidRPr="0004572D">
              <w:rPr>
                <w:rFonts w:ascii="ＭＳ ゴシック" w:eastAsia="ＭＳ ゴシック" w:hAnsi="ＭＳ ゴシック" w:hint="eastAsia"/>
                <w:sz w:val="12"/>
                <w:szCs w:val="12"/>
              </w:rPr>
              <w:t>アルバ</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キューバ</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グレナダ</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ケイマン諸島</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ジャマイカ</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セントビンセント</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セントルシア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タークス及びカイコス諸島</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ドミニカ</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ドミニカ共和国</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トリニダード・トバゴ</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ハイチ</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パナマ</w:t>
            </w:r>
            <w:r>
              <w:rPr>
                <w:rFonts w:ascii="ＭＳ ゴシック" w:eastAsia="ＭＳ ゴシック" w:hAnsi="ＭＳ ゴシック"/>
                <w:sz w:val="12"/>
                <w:szCs w:val="12"/>
              </w:rPr>
              <w:br/>
            </w:r>
            <w:r>
              <w:rPr>
                <w:rFonts w:ascii="ＭＳ ゴシック" w:eastAsia="ＭＳ ゴシック" w:hAnsi="ＭＳ ゴシック" w:hint="eastAsia"/>
                <w:sz w:val="12"/>
                <w:szCs w:val="12"/>
              </w:rPr>
              <w:t>バハマ</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バミューダ諸島</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バルバドス</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英領西インド</w:t>
            </w:r>
            <w:r w:rsidR="001F1B72">
              <w:rPr>
                <w:rFonts w:ascii="ＭＳ ゴシック" w:eastAsia="ＭＳ ゴシック" w:hAnsi="ＭＳ ゴシック" w:hint="eastAsia"/>
                <w:sz w:val="12"/>
                <w:szCs w:val="12"/>
              </w:rPr>
              <w:t>洋</w:t>
            </w:r>
            <w:r w:rsidRPr="0004572D">
              <w:rPr>
                <w:rFonts w:ascii="ＭＳ ゴシック" w:eastAsia="ＭＳ ゴシック" w:hAnsi="ＭＳ ゴシック" w:hint="eastAsia"/>
                <w:sz w:val="12"/>
                <w:szCs w:val="12"/>
              </w:rPr>
              <w:t>諸島</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 xml:space="preserve">　（アンティグア・バーブーダ、</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 xml:space="preserve">　セントクリストファー・ネービス</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 xml:space="preserve">　を含む）</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蘭領アンチル</w:t>
            </w:r>
          </w:p>
          <w:p w:rsidR="00671FF2" w:rsidRPr="0004572D" w:rsidRDefault="00671FF2" w:rsidP="00755E76">
            <w:pPr>
              <w:spacing w:line="160" w:lineRule="exact"/>
              <w:ind w:leftChars="-51" w:left="-107" w:rightChars="-51" w:right="-107" w:firstLineChars="1" w:firstLine="1"/>
              <w:rPr>
                <w:rFonts w:ascii="ＭＳ ゴシック" w:eastAsia="ＭＳ ゴシック" w:hAnsi="ＭＳ ゴシック"/>
                <w:sz w:val="12"/>
                <w:szCs w:val="12"/>
              </w:rPr>
            </w:pPr>
          </w:p>
          <w:p w:rsidR="00671FF2" w:rsidRDefault="00671FF2" w:rsidP="00755E76">
            <w:pPr>
              <w:spacing w:line="160" w:lineRule="exact"/>
              <w:ind w:leftChars="-51" w:left="-107" w:rightChars="-51" w:right="-107" w:firstLineChars="1" w:firstLine="1"/>
              <w:rPr>
                <w:rFonts w:ascii="ＭＳ ゴシック" w:eastAsia="ＭＳ ゴシック" w:hAnsi="ＭＳ ゴシック"/>
                <w:sz w:val="12"/>
                <w:szCs w:val="12"/>
                <w:bdr w:val="single" w:sz="4" w:space="0" w:color="auto"/>
              </w:rPr>
            </w:pPr>
            <w:r w:rsidRPr="0004572D">
              <w:rPr>
                <w:rFonts w:ascii="ＭＳ ゴシック" w:eastAsia="ＭＳ ゴシック" w:hAnsi="ＭＳ ゴシック" w:hint="eastAsia"/>
                <w:sz w:val="12"/>
                <w:szCs w:val="12"/>
                <w:bdr w:val="single" w:sz="4" w:space="0" w:color="auto"/>
              </w:rPr>
              <w:t xml:space="preserve">大洋州　　　　　　　　　　　　</w:t>
            </w:r>
          </w:p>
          <w:p w:rsidR="00671FF2" w:rsidRDefault="00671FF2" w:rsidP="00755E76">
            <w:pPr>
              <w:spacing w:line="160" w:lineRule="exact"/>
              <w:ind w:leftChars="-51" w:left="-107" w:rightChars="-51" w:right="-107" w:firstLineChars="1" w:firstLine="1"/>
              <w:rPr>
                <w:rFonts w:ascii="ＭＳ ゴシック" w:eastAsia="ＭＳ ゴシック" w:hAnsi="ＭＳ ゴシック"/>
                <w:sz w:val="12"/>
                <w:szCs w:val="12"/>
              </w:rPr>
            </w:pPr>
            <w:r w:rsidRPr="0004572D">
              <w:rPr>
                <w:rFonts w:ascii="ＭＳ ゴシック" w:eastAsia="ＭＳ ゴシック" w:hAnsi="ＭＳ ゴシック" w:hint="eastAsia"/>
                <w:sz w:val="12"/>
                <w:szCs w:val="12"/>
              </w:rPr>
              <w:t>オーストラリア</w:t>
            </w:r>
            <w:r w:rsidRPr="0004572D">
              <w:rPr>
                <w:rFonts w:ascii="ＭＳ ゴシック" w:eastAsia="ＭＳ ゴシック" w:hAnsi="ＭＳ ゴシック" w:hint="eastAsia"/>
                <w:sz w:val="12"/>
                <w:szCs w:val="12"/>
              </w:rPr>
              <w:br/>
              <w:t>キリバス</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サモア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ソロモン</w:t>
            </w:r>
            <w:r w:rsidR="001F1B72">
              <w:rPr>
                <w:rFonts w:ascii="ＭＳ ゴシック" w:eastAsia="ＭＳ ゴシック" w:hAnsi="ＭＳ ゴシック" w:hint="eastAsia"/>
                <w:sz w:val="12"/>
                <w:szCs w:val="12"/>
              </w:rPr>
              <w:t>諸島</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ツバル</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トンガ</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ナウル</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ニューカレドニア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ニュージーランド</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バヌアツ</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パプアニューギニア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パラオ</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フィジー</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マーシャル</w:t>
            </w:r>
            <w:r w:rsidR="001F1B72">
              <w:rPr>
                <w:rFonts w:ascii="ＭＳ ゴシック" w:eastAsia="ＭＳ ゴシック" w:hAnsi="ＭＳ ゴシック" w:hint="eastAsia"/>
                <w:sz w:val="12"/>
                <w:szCs w:val="12"/>
              </w:rPr>
              <w:t>諸島</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ミクロネシア</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ワリス・フテュナ諸島</w:t>
            </w:r>
            <w:r w:rsidRPr="0004572D">
              <w:rPr>
                <w:rFonts w:ascii="ＭＳ ゴシック" w:eastAsia="ＭＳ ゴシック" w:hAnsi="ＭＳ ゴシック"/>
                <w:sz w:val="12"/>
                <w:szCs w:val="12"/>
              </w:rPr>
              <w:br/>
            </w:r>
            <w:r w:rsidRPr="0004572D">
              <w:rPr>
                <w:rFonts w:ascii="ＭＳ ゴシック" w:eastAsia="ＭＳ ゴシック" w:hAnsi="ＭＳ ゴシック" w:hint="eastAsia"/>
                <w:sz w:val="12"/>
                <w:szCs w:val="12"/>
              </w:rPr>
              <w:t>仏領ポリネシア</w:t>
            </w:r>
          </w:p>
          <w:p w:rsidR="00671FF2" w:rsidRPr="0004572D" w:rsidRDefault="00671FF2" w:rsidP="00755E76">
            <w:pPr>
              <w:spacing w:line="160" w:lineRule="exact"/>
              <w:ind w:leftChars="-51" w:left="-107" w:rightChars="-51" w:right="-107" w:firstLineChars="1" w:firstLine="1"/>
              <w:rPr>
                <w:rFonts w:ascii="ＭＳ ゴシック" w:eastAsia="ＭＳ ゴシック" w:hAnsi="ＭＳ ゴシック"/>
                <w:sz w:val="12"/>
                <w:szCs w:val="12"/>
              </w:rPr>
            </w:pPr>
          </w:p>
          <w:p w:rsidR="00671FF2" w:rsidRPr="00D570BD" w:rsidRDefault="00671FF2" w:rsidP="00755E76">
            <w:pPr>
              <w:spacing w:line="160" w:lineRule="exact"/>
              <w:ind w:leftChars="-51" w:left="-107" w:rightChars="-51" w:right="-107" w:firstLineChars="1" w:firstLine="1"/>
              <w:rPr>
                <w:rFonts w:ascii="ＭＳ ゴシック" w:eastAsia="ＭＳ ゴシック" w:hAnsi="ＭＳ ゴシック"/>
                <w:sz w:val="12"/>
                <w:szCs w:val="12"/>
                <w:bdr w:val="single" w:sz="4" w:space="0" w:color="auto"/>
              </w:rPr>
            </w:pPr>
            <w:r w:rsidRPr="0004572D">
              <w:rPr>
                <w:rFonts w:ascii="ＭＳ ゴシック" w:eastAsia="ＭＳ ゴシック" w:hAnsi="ＭＳ ゴシック" w:hint="eastAsia"/>
                <w:sz w:val="12"/>
                <w:szCs w:val="12"/>
                <w:bdr w:val="single" w:sz="4" w:space="0" w:color="auto"/>
              </w:rPr>
              <w:t xml:space="preserve">国際機関　　　　　　　　　　　</w:t>
            </w:r>
          </w:p>
        </w:tc>
      </w:tr>
    </w:tbl>
    <w:p w:rsidR="00671FF2" w:rsidRPr="00AA1CAB" w:rsidRDefault="00671FF2">
      <w:pPr>
        <w:pStyle w:val="210"/>
        <w:ind w:left="0"/>
      </w:pPr>
    </w:p>
    <w:sectPr w:rsidR="00671FF2" w:rsidRPr="00AA1CAB">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AD6" w:rsidRDefault="005D5AD6">
      <w:r>
        <w:separator/>
      </w:r>
    </w:p>
  </w:endnote>
  <w:endnote w:type="continuationSeparator" w:id="0">
    <w:p w:rsidR="005D5AD6" w:rsidRDefault="005D5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52C" w:rsidRDefault="0099052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99052C" w:rsidRDefault="0099052C">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52C" w:rsidRDefault="0099052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A7FCE">
      <w:rPr>
        <w:rStyle w:val="a4"/>
        <w:noProof/>
      </w:rPr>
      <w:t>4</w:t>
    </w:r>
    <w:r>
      <w:rPr>
        <w:rStyle w:val="a4"/>
      </w:rPr>
      <w:fldChar w:fldCharType="end"/>
    </w:r>
  </w:p>
  <w:p w:rsidR="0099052C" w:rsidRDefault="0099052C" w:rsidP="005A309B">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884" w:rsidRDefault="0005388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AD6" w:rsidRDefault="005D5AD6">
      <w:r>
        <w:separator/>
      </w:r>
    </w:p>
  </w:footnote>
  <w:footnote w:type="continuationSeparator" w:id="0">
    <w:p w:rsidR="005D5AD6" w:rsidRDefault="005D5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884" w:rsidRDefault="00053884">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52C" w:rsidRDefault="0099052C">
    <w:pPr>
      <w:pStyle w:val="a6"/>
      <w:jc w:val="right"/>
    </w:pPr>
    <w:r>
      <w:rPr>
        <w:rFonts w:hint="eastAsia"/>
      </w:rPr>
      <w:t>別紙様式第</w:t>
    </w:r>
    <w:r>
      <w:rPr>
        <w:rFonts w:hint="eastAsia"/>
      </w:rPr>
      <w:t>33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884" w:rsidRDefault="0005388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A2C59"/>
    <w:multiLevelType w:val="singleLevel"/>
    <w:tmpl w:val="02F269F4"/>
    <w:lvl w:ilvl="0">
      <w:start w:val="1"/>
      <w:numFmt w:val="decimal"/>
      <w:lvlText w:val="(%1)"/>
      <w:lvlJc w:val="left"/>
      <w:pPr>
        <w:tabs>
          <w:tab w:val="num" w:pos="465"/>
        </w:tabs>
        <w:ind w:left="465" w:hanging="255"/>
      </w:pPr>
      <w:rPr>
        <w:rFonts w:hint="eastAsia"/>
      </w:rPr>
    </w:lvl>
  </w:abstractNum>
  <w:abstractNum w:abstractNumId="1" w15:restartNumberingAfterBreak="0">
    <w:nsid w:val="28A20F28"/>
    <w:multiLevelType w:val="hybridMultilevel"/>
    <w:tmpl w:val="1254A012"/>
    <w:lvl w:ilvl="0" w:tplc="F4C6F90C">
      <w:start w:val="4"/>
      <w:numFmt w:val="decimal"/>
      <w:lvlText w:val="(%1)"/>
      <w:lvlJc w:val="left"/>
      <w:pPr>
        <w:tabs>
          <w:tab w:val="num" w:pos="719"/>
        </w:tabs>
        <w:ind w:left="719" w:hanging="360"/>
      </w:pPr>
      <w:rPr>
        <w:rFonts w:hint="eastAsia"/>
      </w:rPr>
    </w:lvl>
    <w:lvl w:ilvl="1" w:tplc="CDBE66F6" w:tentative="1">
      <w:start w:val="1"/>
      <w:numFmt w:val="aiueoFullWidth"/>
      <w:lvlText w:val="(%2)"/>
      <w:lvlJc w:val="left"/>
      <w:pPr>
        <w:tabs>
          <w:tab w:val="num" w:pos="1199"/>
        </w:tabs>
        <w:ind w:left="1199" w:hanging="420"/>
      </w:pPr>
    </w:lvl>
    <w:lvl w:ilvl="2" w:tplc="72940FAE" w:tentative="1">
      <w:start w:val="1"/>
      <w:numFmt w:val="decimalEnclosedCircle"/>
      <w:lvlText w:val="%3"/>
      <w:lvlJc w:val="left"/>
      <w:pPr>
        <w:tabs>
          <w:tab w:val="num" w:pos="1619"/>
        </w:tabs>
        <w:ind w:left="1619" w:hanging="420"/>
      </w:pPr>
    </w:lvl>
    <w:lvl w:ilvl="3" w:tplc="F3D854B4" w:tentative="1">
      <w:start w:val="1"/>
      <w:numFmt w:val="decimal"/>
      <w:lvlText w:val="%4."/>
      <w:lvlJc w:val="left"/>
      <w:pPr>
        <w:tabs>
          <w:tab w:val="num" w:pos="2039"/>
        </w:tabs>
        <w:ind w:left="2039" w:hanging="420"/>
      </w:pPr>
    </w:lvl>
    <w:lvl w:ilvl="4" w:tplc="0ACEF77E" w:tentative="1">
      <w:start w:val="1"/>
      <w:numFmt w:val="aiueoFullWidth"/>
      <w:lvlText w:val="(%5)"/>
      <w:lvlJc w:val="left"/>
      <w:pPr>
        <w:tabs>
          <w:tab w:val="num" w:pos="2459"/>
        </w:tabs>
        <w:ind w:left="2459" w:hanging="420"/>
      </w:pPr>
    </w:lvl>
    <w:lvl w:ilvl="5" w:tplc="544A04F2" w:tentative="1">
      <w:start w:val="1"/>
      <w:numFmt w:val="decimalEnclosedCircle"/>
      <w:lvlText w:val="%6"/>
      <w:lvlJc w:val="left"/>
      <w:pPr>
        <w:tabs>
          <w:tab w:val="num" w:pos="2879"/>
        </w:tabs>
        <w:ind w:left="2879" w:hanging="420"/>
      </w:pPr>
    </w:lvl>
    <w:lvl w:ilvl="6" w:tplc="07780538" w:tentative="1">
      <w:start w:val="1"/>
      <w:numFmt w:val="decimal"/>
      <w:lvlText w:val="%7."/>
      <w:lvlJc w:val="left"/>
      <w:pPr>
        <w:tabs>
          <w:tab w:val="num" w:pos="3299"/>
        </w:tabs>
        <w:ind w:left="3299" w:hanging="420"/>
      </w:pPr>
    </w:lvl>
    <w:lvl w:ilvl="7" w:tplc="A9DCEA04" w:tentative="1">
      <w:start w:val="1"/>
      <w:numFmt w:val="aiueoFullWidth"/>
      <w:lvlText w:val="(%8)"/>
      <w:lvlJc w:val="left"/>
      <w:pPr>
        <w:tabs>
          <w:tab w:val="num" w:pos="3719"/>
        </w:tabs>
        <w:ind w:left="3719" w:hanging="420"/>
      </w:pPr>
    </w:lvl>
    <w:lvl w:ilvl="8" w:tplc="5D2AAEA8" w:tentative="1">
      <w:start w:val="1"/>
      <w:numFmt w:val="decimalEnclosedCircle"/>
      <w:lvlText w:val="%9"/>
      <w:lvlJc w:val="left"/>
      <w:pPr>
        <w:tabs>
          <w:tab w:val="num" w:pos="4139"/>
        </w:tabs>
        <w:ind w:left="4139" w:hanging="420"/>
      </w:pPr>
    </w:lvl>
  </w:abstractNum>
  <w:abstractNum w:abstractNumId="2" w15:restartNumberingAfterBreak="0">
    <w:nsid w:val="45DD75AD"/>
    <w:multiLevelType w:val="singleLevel"/>
    <w:tmpl w:val="91ECA586"/>
    <w:lvl w:ilvl="0">
      <w:start w:val="1"/>
      <w:numFmt w:val="decimalFullWidth"/>
      <w:lvlText w:val="%1．"/>
      <w:lvlJc w:val="left"/>
      <w:pPr>
        <w:tabs>
          <w:tab w:val="num" w:pos="420"/>
        </w:tabs>
        <w:ind w:left="420" w:hanging="420"/>
      </w:pPr>
      <w:rPr>
        <w:rFonts w:hint="eastAsia"/>
      </w:rPr>
    </w:lvl>
  </w:abstractNum>
  <w:abstractNum w:abstractNumId="3" w15:restartNumberingAfterBreak="0">
    <w:nsid w:val="4A027025"/>
    <w:multiLevelType w:val="singleLevel"/>
    <w:tmpl w:val="02F269F4"/>
    <w:lvl w:ilvl="0">
      <w:start w:val="1"/>
      <w:numFmt w:val="decimal"/>
      <w:lvlText w:val="(%1)"/>
      <w:lvlJc w:val="left"/>
      <w:pPr>
        <w:tabs>
          <w:tab w:val="num" w:pos="465"/>
        </w:tabs>
        <w:ind w:left="465" w:hanging="255"/>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F7D"/>
    <w:rsid w:val="00034968"/>
    <w:rsid w:val="00053884"/>
    <w:rsid w:val="00057B3A"/>
    <w:rsid w:val="001516F4"/>
    <w:rsid w:val="00151B85"/>
    <w:rsid w:val="00194231"/>
    <w:rsid w:val="001C6DF5"/>
    <w:rsid w:val="001E3374"/>
    <w:rsid w:val="001F1B72"/>
    <w:rsid w:val="00204D4D"/>
    <w:rsid w:val="00223058"/>
    <w:rsid w:val="00235C8B"/>
    <w:rsid w:val="00242B58"/>
    <w:rsid w:val="002C4B42"/>
    <w:rsid w:val="0033538F"/>
    <w:rsid w:val="00396BE1"/>
    <w:rsid w:val="003D1F4E"/>
    <w:rsid w:val="004428B0"/>
    <w:rsid w:val="00453813"/>
    <w:rsid w:val="00485F38"/>
    <w:rsid w:val="004D33B6"/>
    <w:rsid w:val="004E53DE"/>
    <w:rsid w:val="00501F7D"/>
    <w:rsid w:val="005A309B"/>
    <w:rsid w:val="005A7FCE"/>
    <w:rsid w:val="005B4445"/>
    <w:rsid w:val="005B5906"/>
    <w:rsid w:val="005D5AD6"/>
    <w:rsid w:val="005D5F52"/>
    <w:rsid w:val="00607CA5"/>
    <w:rsid w:val="00671FF2"/>
    <w:rsid w:val="006775D2"/>
    <w:rsid w:val="006B59C0"/>
    <w:rsid w:val="006D1038"/>
    <w:rsid w:val="0073658F"/>
    <w:rsid w:val="00755E76"/>
    <w:rsid w:val="00767784"/>
    <w:rsid w:val="00771087"/>
    <w:rsid w:val="007E1645"/>
    <w:rsid w:val="007F67AA"/>
    <w:rsid w:val="00836F8A"/>
    <w:rsid w:val="008F7496"/>
    <w:rsid w:val="009466D2"/>
    <w:rsid w:val="00962855"/>
    <w:rsid w:val="0099052C"/>
    <w:rsid w:val="009A6E81"/>
    <w:rsid w:val="00A116D7"/>
    <w:rsid w:val="00A96824"/>
    <w:rsid w:val="00AA1CAB"/>
    <w:rsid w:val="00AF7A38"/>
    <w:rsid w:val="00B32260"/>
    <w:rsid w:val="00BA240B"/>
    <w:rsid w:val="00BA7EE2"/>
    <w:rsid w:val="00BB5E0D"/>
    <w:rsid w:val="00BC14EB"/>
    <w:rsid w:val="00BC5D52"/>
    <w:rsid w:val="00BE37FF"/>
    <w:rsid w:val="00C4515F"/>
    <w:rsid w:val="00C7004A"/>
    <w:rsid w:val="00C71EAF"/>
    <w:rsid w:val="00C73D4A"/>
    <w:rsid w:val="00C77006"/>
    <w:rsid w:val="00C93C39"/>
    <w:rsid w:val="00D32E3A"/>
    <w:rsid w:val="00D87042"/>
    <w:rsid w:val="00DC013D"/>
    <w:rsid w:val="00DC5348"/>
    <w:rsid w:val="00DD5335"/>
    <w:rsid w:val="00DE08F2"/>
    <w:rsid w:val="00DF4AEA"/>
    <w:rsid w:val="00E00195"/>
    <w:rsid w:val="00E0301F"/>
    <w:rsid w:val="00E100BC"/>
    <w:rsid w:val="00E17E36"/>
    <w:rsid w:val="00E372D3"/>
    <w:rsid w:val="00E42B1C"/>
    <w:rsid w:val="00E91370"/>
    <w:rsid w:val="00E91A67"/>
    <w:rsid w:val="00EB2EA1"/>
    <w:rsid w:val="00F14896"/>
    <w:rsid w:val="00F24FE1"/>
    <w:rsid w:val="00F31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7777C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 21"/>
    <w:basedOn w:val="a"/>
    <w:pPr>
      <w:adjustRightInd w:val="0"/>
      <w:spacing w:line="300" w:lineRule="atLeast"/>
      <w:ind w:left="1080" w:hanging="480"/>
      <w:jc w:val="left"/>
      <w:textAlignment w:val="baseline"/>
    </w:pPr>
    <w:rPr>
      <w:rFonts w:ascii="ＭＳ 明朝"/>
      <w:kern w:val="0"/>
      <w:sz w:val="20"/>
    </w:rPr>
  </w:style>
  <w:style w:type="paragraph" w:customStyle="1" w:styleId="210">
    <w:name w:val="本文インデント 21"/>
    <w:basedOn w:val="a"/>
    <w:pPr>
      <w:tabs>
        <w:tab w:val="left" w:pos="1871"/>
        <w:tab w:val="left" w:pos="7541"/>
        <w:tab w:val="left" w:pos="9526"/>
      </w:tabs>
      <w:adjustRightInd w:val="0"/>
      <w:spacing w:line="300" w:lineRule="atLeast"/>
      <w:ind w:left="238"/>
      <w:jc w:val="left"/>
      <w:textAlignment w:val="baseline"/>
    </w:pPr>
    <w:rPr>
      <w:rFonts w:ascii="ＭＳ 明朝" w:hAnsi="ＭＳ 明朝"/>
      <w:kern w:val="0"/>
    </w:rPr>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Pr>
      <w:rFonts w:ascii="Arial" w:eastAsia="ＭＳ ゴシック" w:hAnsi="Arial"/>
      <w:sz w:val="18"/>
      <w:szCs w:val="18"/>
    </w:rPr>
  </w:style>
  <w:style w:type="paragraph" w:styleId="a6">
    <w:name w:val="header"/>
    <w:basedOn w:val="a"/>
    <w:pPr>
      <w:tabs>
        <w:tab w:val="center" w:pos="4252"/>
        <w:tab w:val="right" w:pos="8504"/>
      </w:tabs>
      <w:snapToGrid w:val="0"/>
    </w:pPr>
  </w:style>
  <w:style w:type="paragraph" w:customStyle="1" w:styleId="a7">
    <w:name w:val="（）"/>
    <w:basedOn w:val="a"/>
    <w:pPr>
      <w:ind w:leftChars="171" w:left="718" w:hangingChars="171" w:hanging="359"/>
    </w:pPr>
    <w:rPr>
      <w:rFonts w:ascii="ＭＳ 明朝" w:hAnsi="ＭＳ 明朝"/>
      <w:noProof/>
    </w:rPr>
  </w:style>
  <w:style w:type="paragraph" w:customStyle="1" w:styleId="a8">
    <w:name w:val="イロハ"/>
    <w:basedOn w:val="a"/>
    <w:pPr>
      <w:ind w:leftChars="342" w:left="899" w:hangingChars="86" w:hanging="181"/>
    </w:pPr>
    <w:rPr>
      <w:rFonts w:ascii="ＭＳ 明朝" w:hAnsi="ＭＳ 明朝"/>
      <w:noProof/>
    </w:rPr>
  </w:style>
  <w:style w:type="paragraph" w:customStyle="1" w:styleId="a9">
    <w:name w:val="注"/>
    <w:basedOn w:val="a7"/>
    <w:pPr>
      <w:ind w:leftChars="343" w:left="1439" w:firstLineChars="0" w:hanging="719"/>
    </w:pPr>
  </w:style>
  <w:style w:type="paragraph" w:styleId="aa">
    <w:name w:val="Revision"/>
    <w:hidden/>
    <w:uiPriority w:val="99"/>
    <w:semiHidden/>
    <w:rsid w:val="004D33B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3748</Words>
  <Characters>557</Characters>
  <Application>Microsoft Office Word</Application>
  <DocSecurity>0</DocSecurity>
  <Lines>4</Lines>
  <Paragraphs>8</Paragraphs>
  <ScaleCrop>false</ScaleCrop>
  <HeadingPairs>
    <vt:vector size="2" baseType="variant">
      <vt:variant>
        <vt:lpstr>タイトル</vt:lpstr>
      </vt:variant>
      <vt:variant>
        <vt:i4>1</vt:i4>
      </vt:variant>
    </vt:vector>
  </HeadingPairs>
  <TitlesOfParts>
    <vt:vector size="1" baseType="lpstr">
      <vt:lpstr>「銀行等の非居住者等に対する国別債権債務に関する報告書」の記載要領</vt:lpstr>
    </vt:vector>
  </TitlesOfParts>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「銀行等の非居住者等に対する国別債権債務に関する報告書」の記載要領</dc:title>
  <dc:subject/>
  <dc:creator>日本銀行</dc:creator>
  <cp:keywords/>
  <cp:lastModifiedBy/>
  <dcterms:created xsi:type="dcterms:W3CDTF">2020-10-22T03:07:00Z</dcterms:created>
  <dcterms:modified xsi:type="dcterms:W3CDTF">2020-10-27T03:14:00Z</dcterms:modified>
</cp:coreProperties>
</file>